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2977"/>
        <w:gridCol w:w="2607"/>
        <w:gridCol w:w="2608"/>
        <w:gridCol w:w="2608"/>
      </w:tblGrid>
      <w:tr w:rsidR="00CC667B" w:rsidRPr="003138D1" w14:paraId="58CE6D89" w14:textId="77777777" w:rsidTr="00C30251">
        <w:tc>
          <w:tcPr>
            <w:tcW w:w="2977" w:type="dxa"/>
            <w:shd w:val="clear" w:color="auto" w:fill="auto"/>
            <w:tcMar>
              <w:top w:w="113" w:type="dxa"/>
              <w:left w:w="0" w:type="dxa"/>
              <w:bottom w:w="113" w:type="dxa"/>
              <w:right w:w="0" w:type="dxa"/>
            </w:tcMar>
          </w:tcPr>
          <w:p w14:paraId="1ADFE34F" w14:textId="77777777" w:rsidR="00CC667B" w:rsidRPr="003138D1" w:rsidRDefault="00CC667B" w:rsidP="00C30251">
            <w:pPr>
              <w:pStyle w:val="Heading2"/>
              <w:rPr>
                <w:color w:val="0033A0"/>
              </w:rPr>
            </w:pPr>
            <w:r w:rsidRPr="003138D1">
              <w:t>Description:</w:t>
            </w:r>
          </w:p>
        </w:tc>
        <w:tc>
          <w:tcPr>
            <w:tcW w:w="7823" w:type="dxa"/>
            <w:gridSpan w:val="3"/>
            <w:shd w:val="clear" w:color="auto" w:fill="auto"/>
            <w:tcMar>
              <w:top w:w="113" w:type="dxa"/>
              <w:left w:w="0" w:type="dxa"/>
              <w:bottom w:w="113" w:type="dxa"/>
              <w:right w:w="0" w:type="dxa"/>
            </w:tcMar>
          </w:tcPr>
          <w:p w14:paraId="1A2000E1" w14:textId="264C3047" w:rsidR="00CC667B" w:rsidRPr="003138D1" w:rsidRDefault="00EC1887" w:rsidP="00C30251">
            <w:r>
              <w:t xml:space="preserve">Neogard </w:t>
            </w:r>
            <w:r w:rsidRPr="00EC1887">
              <w:t>Cove Base UV</w:t>
            </w:r>
            <w:r w:rsidR="004E6B85">
              <w:t xml:space="preserve"> </w:t>
            </w:r>
            <w:r w:rsidR="00CC667B" w:rsidRPr="009349A3">
              <w:t>(4</w:t>
            </w:r>
            <w:r>
              <w:t>52JB</w:t>
            </w:r>
            <w:r w:rsidR="00CC667B" w:rsidRPr="009349A3">
              <w:t>) is a two-component, 100% solids hybrid epoxy resin</w:t>
            </w:r>
            <w:r w:rsidR="00012D00">
              <w:t xml:space="preserve"> designed a</w:t>
            </w:r>
            <w:r w:rsidR="00ED56ED">
              <w:t>s a</w:t>
            </w:r>
            <w:r w:rsidR="00012D00">
              <w:t xml:space="preserve"> cove base </w:t>
            </w:r>
            <w:r w:rsidR="00ED56ED">
              <w:t>trowel resin and topcoat</w:t>
            </w:r>
            <w:r w:rsidR="00C07A64">
              <w:t>.</w:t>
            </w:r>
          </w:p>
        </w:tc>
      </w:tr>
      <w:tr w:rsidR="00CC667B" w:rsidRPr="003138D1" w14:paraId="2E8B01F7" w14:textId="77777777" w:rsidTr="00C30251">
        <w:tc>
          <w:tcPr>
            <w:tcW w:w="2977" w:type="dxa"/>
            <w:shd w:val="clear" w:color="auto" w:fill="auto"/>
            <w:tcMar>
              <w:top w:w="113" w:type="dxa"/>
              <w:left w:w="0" w:type="dxa"/>
              <w:bottom w:w="113" w:type="dxa"/>
              <w:right w:w="0" w:type="dxa"/>
            </w:tcMar>
          </w:tcPr>
          <w:p w14:paraId="024D0AA6" w14:textId="77777777" w:rsidR="00CC667B" w:rsidRPr="003138D1" w:rsidRDefault="00CC667B" w:rsidP="00C30251">
            <w:pPr>
              <w:pStyle w:val="Heading2"/>
            </w:pPr>
            <w:r w:rsidRPr="003138D1">
              <w:t>Recommended use:</w:t>
            </w:r>
          </w:p>
        </w:tc>
        <w:tc>
          <w:tcPr>
            <w:tcW w:w="7823" w:type="dxa"/>
            <w:gridSpan w:val="3"/>
            <w:shd w:val="clear" w:color="auto" w:fill="auto"/>
            <w:tcMar>
              <w:top w:w="113" w:type="dxa"/>
              <w:left w:w="0" w:type="dxa"/>
              <w:bottom w:w="113" w:type="dxa"/>
              <w:right w:w="0" w:type="dxa"/>
            </w:tcMar>
          </w:tcPr>
          <w:p w14:paraId="609E28AB" w14:textId="53E4E40A" w:rsidR="00CC667B" w:rsidRPr="003138D1" w:rsidRDefault="00EC1887" w:rsidP="00C30251">
            <w:r>
              <w:t xml:space="preserve">As a </w:t>
            </w:r>
            <w:r w:rsidR="00ED56ED">
              <w:t xml:space="preserve">trowel resin and topcoat </w:t>
            </w:r>
            <w:r>
              <w:t xml:space="preserve">for </w:t>
            </w:r>
            <w:r w:rsidR="001C4498">
              <w:t>cove bases in conjunction with various Neogard floor coating systems.</w:t>
            </w:r>
          </w:p>
        </w:tc>
      </w:tr>
      <w:tr w:rsidR="00CC667B" w:rsidRPr="003138D1" w14:paraId="4793B407" w14:textId="77777777" w:rsidTr="00C30251">
        <w:tc>
          <w:tcPr>
            <w:tcW w:w="2977" w:type="dxa"/>
            <w:shd w:val="clear" w:color="auto" w:fill="auto"/>
            <w:tcMar>
              <w:top w:w="113" w:type="dxa"/>
              <w:left w:w="0" w:type="dxa"/>
              <w:bottom w:w="113" w:type="dxa"/>
              <w:right w:w="0" w:type="dxa"/>
            </w:tcMar>
          </w:tcPr>
          <w:p w14:paraId="25D7230B" w14:textId="77777777" w:rsidR="00CC667B" w:rsidRPr="003138D1" w:rsidRDefault="00CC667B" w:rsidP="00C30251">
            <w:pPr>
              <w:pStyle w:val="Heading2"/>
            </w:pPr>
            <w:r w:rsidRPr="003138D1">
              <w:t>Features:</w:t>
            </w:r>
          </w:p>
        </w:tc>
        <w:tc>
          <w:tcPr>
            <w:tcW w:w="7823" w:type="dxa"/>
            <w:gridSpan w:val="3"/>
            <w:shd w:val="clear" w:color="auto" w:fill="auto"/>
            <w:tcMar>
              <w:top w:w="113" w:type="dxa"/>
              <w:left w:w="0" w:type="dxa"/>
              <w:bottom w:w="113" w:type="dxa"/>
              <w:right w:w="0" w:type="dxa"/>
            </w:tcMar>
          </w:tcPr>
          <w:p w14:paraId="49682D52" w14:textId="77777777" w:rsidR="00CC667B" w:rsidRPr="00A608BE" w:rsidRDefault="00CC667B" w:rsidP="00C30251">
            <w:pPr>
              <w:pStyle w:val="Heading2"/>
              <w:rPr>
                <w:b w:val="0"/>
              </w:rPr>
            </w:pPr>
            <w:r w:rsidRPr="00A608BE">
              <w:rPr>
                <w:b w:val="0"/>
              </w:rPr>
              <w:t>Minimal yellowing. Reduced UV degradation. Resists impact and abrasion. Very low odor. Ca</w:t>
            </w:r>
            <w:r>
              <w:rPr>
                <w:b w:val="0"/>
              </w:rPr>
              <w:t>n be used as a low-</w:t>
            </w:r>
            <w:r w:rsidRPr="00A608BE">
              <w:rPr>
                <w:b w:val="0"/>
              </w:rPr>
              <w:t>VOC alternative to chemical resistant urethanes.</w:t>
            </w:r>
          </w:p>
          <w:p w14:paraId="3C9F71D7" w14:textId="77777777" w:rsidR="00CC667B" w:rsidRPr="00A608BE" w:rsidRDefault="00CC667B" w:rsidP="00C30251">
            <w:pPr>
              <w:pStyle w:val="Heading2"/>
              <w:rPr>
                <w:b w:val="0"/>
              </w:rPr>
            </w:pPr>
            <w:r w:rsidRPr="00A608BE">
              <w:rPr>
                <w:b w:val="0"/>
              </w:rPr>
              <w:t>Meets U.S.D.A. requirements for incidental food contact.</w:t>
            </w:r>
          </w:p>
          <w:p w14:paraId="4BDF10C8" w14:textId="77777777" w:rsidR="00CC667B" w:rsidRPr="003138D1" w:rsidRDefault="00CC667B" w:rsidP="00C30251">
            <w:r w:rsidRPr="00A608BE">
              <w:t>Meets South Coast Air Quality Management District (SCAQMD) VOC requirements.</w:t>
            </w:r>
          </w:p>
        </w:tc>
      </w:tr>
      <w:tr w:rsidR="00CC667B" w:rsidRPr="003138D1" w14:paraId="7970EF86" w14:textId="77777777" w:rsidTr="00C30251">
        <w:tc>
          <w:tcPr>
            <w:tcW w:w="2977" w:type="dxa"/>
            <w:shd w:val="clear" w:color="auto" w:fill="auto"/>
            <w:tcMar>
              <w:top w:w="113" w:type="dxa"/>
              <w:left w:w="0" w:type="dxa"/>
              <w:bottom w:w="113" w:type="dxa"/>
              <w:right w:w="0" w:type="dxa"/>
            </w:tcMar>
          </w:tcPr>
          <w:p w14:paraId="086E558D" w14:textId="77777777" w:rsidR="00CC667B" w:rsidRPr="003138D1" w:rsidRDefault="00CC667B" w:rsidP="00C30251">
            <w:pPr>
              <w:pStyle w:val="Heading2"/>
              <w:rPr>
                <w:color w:val="0033A0"/>
              </w:rPr>
            </w:pPr>
            <w:r w:rsidRPr="003138D1">
              <w:t>Certificates/approvals:</w:t>
            </w:r>
          </w:p>
        </w:tc>
        <w:tc>
          <w:tcPr>
            <w:tcW w:w="7823" w:type="dxa"/>
            <w:gridSpan w:val="3"/>
            <w:shd w:val="clear" w:color="auto" w:fill="auto"/>
            <w:tcMar>
              <w:top w:w="113" w:type="dxa"/>
              <w:left w:w="0" w:type="dxa"/>
              <w:bottom w:w="113" w:type="dxa"/>
              <w:right w:w="0" w:type="dxa"/>
            </w:tcMar>
          </w:tcPr>
          <w:p w14:paraId="0BD4B002" w14:textId="77777777" w:rsidR="00CC667B" w:rsidRPr="003138D1" w:rsidRDefault="00CC667B" w:rsidP="00C30251">
            <w:r w:rsidRPr="003365C7">
              <w:t>LEED: MRc5, IEQc4.2</w:t>
            </w:r>
          </w:p>
        </w:tc>
      </w:tr>
      <w:tr w:rsidR="00CC667B" w:rsidRPr="003138D1" w14:paraId="3E3A9ABD" w14:textId="77777777" w:rsidTr="00C30251">
        <w:tc>
          <w:tcPr>
            <w:tcW w:w="2977" w:type="dxa"/>
            <w:shd w:val="clear" w:color="auto" w:fill="auto"/>
            <w:tcMar>
              <w:top w:w="113" w:type="dxa"/>
              <w:left w:w="0" w:type="dxa"/>
              <w:bottom w:w="113" w:type="dxa"/>
              <w:right w:w="0" w:type="dxa"/>
            </w:tcMar>
          </w:tcPr>
          <w:p w14:paraId="7CA1EDB9" w14:textId="77777777" w:rsidR="00CC667B" w:rsidRPr="003138D1" w:rsidRDefault="00CC667B" w:rsidP="00C30251">
            <w:pPr>
              <w:pStyle w:val="Heading2"/>
            </w:pPr>
            <w:r w:rsidRPr="003138D1">
              <w:t>Availability:</w:t>
            </w:r>
          </w:p>
        </w:tc>
        <w:tc>
          <w:tcPr>
            <w:tcW w:w="7823" w:type="dxa"/>
            <w:gridSpan w:val="3"/>
            <w:shd w:val="clear" w:color="auto" w:fill="auto"/>
            <w:tcMar>
              <w:top w:w="113" w:type="dxa"/>
              <w:left w:w="0" w:type="dxa"/>
              <w:bottom w:w="113" w:type="dxa"/>
              <w:right w:w="0" w:type="dxa"/>
            </w:tcMar>
          </w:tcPr>
          <w:p w14:paraId="6B29D0C2" w14:textId="77777777" w:rsidR="00CC667B" w:rsidRPr="003138D1" w:rsidRDefault="00CC667B" w:rsidP="00C30251">
            <w:r>
              <w:t xml:space="preserve">Available in North America. </w:t>
            </w:r>
            <w:r w:rsidRPr="009E3BE7">
              <w:t>Not included i</w:t>
            </w:r>
            <w:r>
              <w:t>n Group Assortment; other regions must confirm</w:t>
            </w:r>
            <w:r w:rsidRPr="009E3BE7">
              <w:t>.</w:t>
            </w:r>
          </w:p>
        </w:tc>
      </w:tr>
      <w:tr w:rsidR="00CC667B" w:rsidRPr="003138D1" w14:paraId="2A818D66" w14:textId="77777777" w:rsidTr="00C30251">
        <w:tc>
          <w:tcPr>
            <w:tcW w:w="2977" w:type="dxa"/>
            <w:shd w:val="clear" w:color="auto" w:fill="auto"/>
            <w:tcMar>
              <w:top w:w="113" w:type="dxa"/>
              <w:left w:w="0" w:type="dxa"/>
              <w:bottom w:w="113" w:type="dxa"/>
              <w:right w:w="0" w:type="dxa"/>
            </w:tcMar>
          </w:tcPr>
          <w:p w14:paraId="694F0CAA" w14:textId="77777777" w:rsidR="00CC667B" w:rsidRPr="003138D1" w:rsidRDefault="00CC667B" w:rsidP="00C30251">
            <w:pPr>
              <w:pStyle w:val="Heading1"/>
            </w:pPr>
            <w:r>
              <w:t>Colors and packaging:</w:t>
            </w:r>
          </w:p>
        </w:tc>
        <w:tc>
          <w:tcPr>
            <w:tcW w:w="7823" w:type="dxa"/>
            <w:gridSpan w:val="3"/>
            <w:shd w:val="clear" w:color="auto" w:fill="auto"/>
            <w:tcMar>
              <w:top w:w="113" w:type="dxa"/>
              <w:left w:w="0" w:type="dxa"/>
              <w:bottom w:w="113" w:type="dxa"/>
              <w:right w:w="0" w:type="dxa"/>
            </w:tcMar>
          </w:tcPr>
          <w:p w14:paraId="18A5C4F4" w14:textId="77777777" w:rsidR="00CC667B" w:rsidRPr="003138D1" w:rsidRDefault="00CC667B" w:rsidP="00C30251">
            <w:pPr>
              <w:pStyle w:val="Heading1"/>
            </w:pPr>
          </w:p>
        </w:tc>
      </w:tr>
      <w:tr w:rsidR="00CC667B" w:rsidRPr="003138D1" w14:paraId="6D042007" w14:textId="77777777" w:rsidTr="001C4498">
        <w:tc>
          <w:tcPr>
            <w:tcW w:w="2977" w:type="dxa"/>
            <w:shd w:val="clear" w:color="auto" w:fill="auto"/>
            <w:tcMar>
              <w:top w:w="115" w:type="dxa"/>
              <w:left w:w="0" w:type="dxa"/>
              <w:bottom w:w="0" w:type="dxa"/>
              <w:right w:w="0" w:type="dxa"/>
            </w:tcMar>
          </w:tcPr>
          <w:p w14:paraId="471A43D7" w14:textId="77777777" w:rsidR="00CC667B" w:rsidRDefault="00CC667B" w:rsidP="00C30251">
            <w:r>
              <w:t>45</w:t>
            </w:r>
            <w:r w:rsidR="001C4498">
              <w:t>2J9</w:t>
            </w:r>
            <w:r>
              <w:t>00000</w:t>
            </w:r>
          </w:p>
          <w:p w14:paraId="55A97B60" w14:textId="77777777" w:rsidR="00CC667B" w:rsidRPr="003138D1" w:rsidRDefault="001C4498" w:rsidP="00C30251">
            <w:r>
              <w:t>961JB</w:t>
            </w:r>
            <w:r w:rsidR="00CC667B">
              <w:t>00000</w:t>
            </w:r>
          </w:p>
        </w:tc>
        <w:tc>
          <w:tcPr>
            <w:tcW w:w="2607" w:type="dxa"/>
            <w:shd w:val="clear" w:color="auto" w:fill="auto"/>
            <w:tcMar>
              <w:top w:w="115" w:type="dxa"/>
              <w:left w:w="0" w:type="dxa"/>
              <w:bottom w:w="0" w:type="dxa"/>
              <w:right w:w="0" w:type="dxa"/>
            </w:tcMar>
          </w:tcPr>
          <w:p w14:paraId="26961621" w14:textId="77777777" w:rsidR="00CC667B" w:rsidRDefault="00CC667B" w:rsidP="00C30251">
            <w:r>
              <w:t>Clear</w:t>
            </w:r>
          </w:p>
          <w:p w14:paraId="288A5DFD" w14:textId="771F8371" w:rsidR="004E6B85" w:rsidRPr="003138D1" w:rsidRDefault="004E6B85" w:rsidP="00C30251">
            <w:r>
              <w:t>Clear</w:t>
            </w:r>
          </w:p>
        </w:tc>
        <w:tc>
          <w:tcPr>
            <w:tcW w:w="2608" w:type="dxa"/>
            <w:shd w:val="clear" w:color="auto" w:fill="auto"/>
            <w:tcMar>
              <w:top w:w="115" w:type="dxa"/>
            </w:tcMar>
            <w:vAlign w:val="center"/>
          </w:tcPr>
          <w:p w14:paraId="5F446A35" w14:textId="69544BC4" w:rsidR="00CC667B" w:rsidRDefault="00BC4B6B" w:rsidP="00BC4B6B">
            <w:pPr>
              <w:ind w:left="-110"/>
            </w:pPr>
            <w:r>
              <w:t>3/4</w:t>
            </w:r>
            <w:r w:rsidR="00ED56ED">
              <w:t>-gallon</w:t>
            </w:r>
            <w:r w:rsidR="00CC667B">
              <w:t xml:space="preserve"> and 3-gallon kits</w:t>
            </w:r>
          </w:p>
        </w:tc>
        <w:tc>
          <w:tcPr>
            <w:tcW w:w="2608" w:type="dxa"/>
            <w:shd w:val="clear" w:color="auto" w:fill="auto"/>
            <w:tcMar>
              <w:top w:w="115" w:type="dxa"/>
            </w:tcMar>
          </w:tcPr>
          <w:p w14:paraId="5EAB4F0A" w14:textId="77777777" w:rsidR="00CC667B" w:rsidRPr="003138D1" w:rsidRDefault="00CC667B" w:rsidP="00C30251"/>
        </w:tc>
      </w:tr>
      <w:tr w:rsidR="00CC667B" w:rsidRPr="003138D1" w14:paraId="718BA6C1" w14:textId="77777777" w:rsidTr="00C30251">
        <w:tc>
          <w:tcPr>
            <w:tcW w:w="2977" w:type="dxa"/>
            <w:shd w:val="clear" w:color="auto" w:fill="auto"/>
            <w:tcMar>
              <w:top w:w="113" w:type="dxa"/>
              <w:left w:w="0" w:type="dxa"/>
              <w:bottom w:w="113" w:type="dxa"/>
              <w:right w:w="0" w:type="dxa"/>
            </w:tcMar>
          </w:tcPr>
          <w:p w14:paraId="524D8DE0" w14:textId="77777777" w:rsidR="00CC667B" w:rsidRPr="003138D1" w:rsidRDefault="00CC667B" w:rsidP="00C30251">
            <w:pPr>
              <w:pStyle w:val="Heading1"/>
            </w:pPr>
            <w:r w:rsidRPr="003138D1">
              <w:t>Physical constants:</w:t>
            </w:r>
          </w:p>
        </w:tc>
        <w:tc>
          <w:tcPr>
            <w:tcW w:w="7823" w:type="dxa"/>
            <w:gridSpan w:val="3"/>
            <w:shd w:val="clear" w:color="auto" w:fill="auto"/>
            <w:tcMar>
              <w:top w:w="113" w:type="dxa"/>
              <w:left w:w="0" w:type="dxa"/>
              <w:bottom w:w="113" w:type="dxa"/>
              <w:right w:w="0" w:type="dxa"/>
            </w:tcMar>
          </w:tcPr>
          <w:p w14:paraId="0448A26B" w14:textId="77777777" w:rsidR="00CC667B" w:rsidRPr="003138D1" w:rsidRDefault="00CC667B" w:rsidP="00C30251"/>
        </w:tc>
      </w:tr>
      <w:tr w:rsidR="00CC667B" w:rsidRPr="003138D1" w14:paraId="567B3ED8" w14:textId="77777777" w:rsidTr="00C30251">
        <w:tc>
          <w:tcPr>
            <w:tcW w:w="2977" w:type="dxa"/>
            <w:shd w:val="clear" w:color="auto" w:fill="auto"/>
            <w:tcMar>
              <w:top w:w="115" w:type="dxa"/>
              <w:left w:w="0" w:type="dxa"/>
              <w:bottom w:w="0" w:type="dxa"/>
              <w:right w:w="0" w:type="dxa"/>
            </w:tcMar>
          </w:tcPr>
          <w:p w14:paraId="158929AF" w14:textId="77777777" w:rsidR="00CC667B" w:rsidRDefault="00CC667B" w:rsidP="00C30251">
            <w:r>
              <w:t xml:space="preserve">Compressive </w:t>
            </w:r>
            <w:r w:rsidR="00DB3DA5">
              <w:t>s</w:t>
            </w:r>
            <w:r>
              <w:t>trength</w:t>
            </w:r>
          </w:p>
          <w:p w14:paraId="4A10E3E2" w14:textId="77777777" w:rsidR="00CC667B" w:rsidRDefault="00CC667B" w:rsidP="00C30251">
            <w:r>
              <w:t xml:space="preserve">Tensile </w:t>
            </w:r>
            <w:r w:rsidR="00DB3DA5">
              <w:t>s</w:t>
            </w:r>
            <w:r>
              <w:t>trength</w:t>
            </w:r>
          </w:p>
          <w:p w14:paraId="05032F9E" w14:textId="77777777" w:rsidR="00CC667B" w:rsidRDefault="00CC667B" w:rsidP="00C30251">
            <w:r>
              <w:t xml:space="preserve">Elongation </w:t>
            </w:r>
            <w:r w:rsidR="00DB3DA5">
              <w:t>at</w:t>
            </w:r>
            <w:r>
              <w:t xml:space="preserve"> </w:t>
            </w:r>
            <w:r w:rsidR="00DB3DA5">
              <w:t>b</w:t>
            </w:r>
            <w:r>
              <w:t>reak</w:t>
            </w:r>
          </w:p>
          <w:p w14:paraId="6646840F" w14:textId="77777777" w:rsidR="00CC667B" w:rsidRDefault="00CC667B" w:rsidP="00C30251">
            <w:r>
              <w:t xml:space="preserve">Flexural </w:t>
            </w:r>
            <w:r w:rsidR="00DB3DA5">
              <w:t>s</w:t>
            </w:r>
            <w:r>
              <w:t>trength</w:t>
            </w:r>
          </w:p>
          <w:p w14:paraId="3A450E1D" w14:textId="77777777" w:rsidR="00CC667B" w:rsidRDefault="00CC667B" w:rsidP="00C30251">
            <w:r>
              <w:t xml:space="preserve">Flexural </w:t>
            </w:r>
            <w:r w:rsidR="00DB3DA5">
              <w:t>m</w:t>
            </w:r>
            <w:r>
              <w:t>odulus</w:t>
            </w:r>
          </w:p>
          <w:p w14:paraId="063B4023" w14:textId="77777777" w:rsidR="00CC667B" w:rsidRDefault="00CC667B" w:rsidP="00C30251">
            <w:r>
              <w:t xml:space="preserve">Modulus of </w:t>
            </w:r>
            <w:r w:rsidR="00DB3DA5">
              <w:t>e</w:t>
            </w:r>
            <w:r>
              <w:t>lasticity</w:t>
            </w:r>
          </w:p>
          <w:p w14:paraId="2A182AC6" w14:textId="77777777" w:rsidR="00CC667B" w:rsidRDefault="00CC667B" w:rsidP="00C30251">
            <w:r>
              <w:t xml:space="preserve">Shore D </w:t>
            </w:r>
          </w:p>
          <w:p w14:paraId="7C2DC046" w14:textId="77777777" w:rsidR="00CC667B" w:rsidRDefault="00CC667B" w:rsidP="00C30251">
            <w:r>
              <w:t>Adhesion</w:t>
            </w:r>
          </w:p>
          <w:p w14:paraId="02362F2D" w14:textId="77777777" w:rsidR="00CC667B" w:rsidRDefault="00CC667B" w:rsidP="00C30251">
            <w:r>
              <w:t xml:space="preserve">Water </w:t>
            </w:r>
            <w:r w:rsidR="00DB3DA5">
              <w:t>r</w:t>
            </w:r>
            <w:r>
              <w:t>esistance</w:t>
            </w:r>
          </w:p>
          <w:p w14:paraId="73BC7AA1" w14:textId="77777777" w:rsidR="00CC667B" w:rsidRDefault="00CC667B" w:rsidP="00C30251">
            <w:r>
              <w:t xml:space="preserve">MVT </w:t>
            </w:r>
            <w:r w:rsidR="00DB3DA5">
              <w:t>at</w:t>
            </w:r>
            <w:r>
              <w:t xml:space="preserve"> 20 mils</w:t>
            </w:r>
          </w:p>
          <w:p w14:paraId="20B975EB" w14:textId="77777777" w:rsidR="00CC667B" w:rsidRDefault="00CC667B" w:rsidP="00C30251">
            <w:r>
              <w:t>Flammability</w:t>
            </w:r>
          </w:p>
          <w:p w14:paraId="05ED737E" w14:textId="77777777" w:rsidR="00CC667B" w:rsidRDefault="00CC667B" w:rsidP="00C30251">
            <w:r>
              <w:t xml:space="preserve">Taber </w:t>
            </w:r>
            <w:r w:rsidR="00DB3DA5">
              <w:t>a</w:t>
            </w:r>
            <w:r>
              <w:t>brasion</w:t>
            </w:r>
          </w:p>
          <w:p w14:paraId="01746851" w14:textId="77777777" w:rsidR="00271438" w:rsidRDefault="00271438" w:rsidP="00C30251">
            <w:r>
              <w:t>Sagging</w:t>
            </w:r>
          </w:p>
          <w:p w14:paraId="69D2A019" w14:textId="77777777" w:rsidR="00CC667B" w:rsidRDefault="00CC667B" w:rsidP="00C30251"/>
          <w:p w14:paraId="5054D385" w14:textId="77777777" w:rsidR="00CC667B" w:rsidRDefault="00CC667B" w:rsidP="00C30251">
            <w:r>
              <w:t>Weight/</w:t>
            </w:r>
            <w:r w:rsidR="00DB3DA5">
              <w:t>g</w:t>
            </w:r>
            <w:r>
              <w:t>allon (mixed)</w:t>
            </w:r>
          </w:p>
          <w:p w14:paraId="614384F5" w14:textId="77777777" w:rsidR="00CC667B" w:rsidRDefault="00CC667B" w:rsidP="00C30251">
            <w:r>
              <w:t xml:space="preserve">Weight </w:t>
            </w:r>
            <w:r w:rsidR="00DB3DA5">
              <w:t>s</w:t>
            </w:r>
            <w:r>
              <w:t>olids (mixed)</w:t>
            </w:r>
          </w:p>
          <w:p w14:paraId="76509D91" w14:textId="77777777" w:rsidR="00CC667B" w:rsidRDefault="00CC667B" w:rsidP="00C30251">
            <w:r>
              <w:t xml:space="preserve">Volume </w:t>
            </w:r>
            <w:r w:rsidR="00DB3DA5">
              <w:t>s</w:t>
            </w:r>
            <w:r>
              <w:t>olids (mixed)</w:t>
            </w:r>
          </w:p>
          <w:p w14:paraId="0DB9B977" w14:textId="77777777" w:rsidR="00CC667B" w:rsidRPr="004E6B85" w:rsidRDefault="00CC667B" w:rsidP="00C30251">
            <w:r w:rsidRPr="004E6B85">
              <w:t>Viscosity (mixed)</w:t>
            </w:r>
          </w:p>
          <w:p w14:paraId="290CD263" w14:textId="77777777" w:rsidR="00CC667B" w:rsidRDefault="00CC667B" w:rsidP="00C30251">
            <w:r>
              <w:t xml:space="preserve">Flash </w:t>
            </w:r>
            <w:r w:rsidR="00DB3DA5">
              <w:t>p</w:t>
            </w:r>
            <w:r>
              <w:t>oint</w:t>
            </w:r>
          </w:p>
          <w:p w14:paraId="6BEFF6BB" w14:textId="77777777" w:rsidR="00CC667B" w:rsidRDefault="00CC667B" w:rsidP="00C30251">
            <w:r>
              <w:t>VOC (mixed)</w:t>
            </w:r>
          </w:p>
          <w:p w14:paraId="6FD94ACF" w14:textId="77777777" w:rsidR="00CC667B" w:rsidRDefault="00CC667B" w:rsidP="00C30251">
            <w:r>
              <w:t xml:space="preserve">Shelf </w:t>
            </w:r>
            <w:r w:rsidR="00DB3DA5">
              <w:t>l</w:t>
            </w:r>
            <w:r>
              <w:t>ife</w:t>
            </w:r>
          </w:p>
          <w:p w14:paraId="7E17D02C" w14:textId="77777777" w:rsidR="00CC667B" w:rsidRDefault="00CC667B" w:rsidP="00C30251">
            <w:r>
              <w:t xml:space="preserve">Thin </w:t>
            </w:r>
            <w:r w:rsidR="00DB3DA5">
              <w:t>f</w:t>
            </w:r>
            <w:r>
              <w:t xml:space="preserve">ilm </w:t>
            </w:r>
            <w:r w:rsidR="00DB3DA5">
              <w:t>c</w:t>
            </w:r>
            <w:r>
              <w:t xml:space="preserve">ure </w:t>
            </w:r>
          </w:p>
          <w:p w14:paraId="729A1441" w14:textId="77777777" w:rsidR="00CC667B" w:rsidRDefault="00CC667B" w:rsidP="00C30251">
            <w:r>
              <w:t xml:space="preserve">Light </w:t>
            </w:r>
            <w:r w:rsidR="00DB3DA5">
              <w:t>t</w:t>
            </w:r>
            <w:r>
              <w:t xml:space="preserve">raffic </w:t>
            </w:r>
            <w:r w:rsidR="00DB3DA5">
              <w:t>u</w:t>
            </w:r>
            <w:r>
              <w:t>se</w:t>
            </w:r>
          </w:p>
          <w:p w14:paraId="1C07ED96" w14:textId="77777777" w:rsidR="00CC667B" w:rsidRPr="003138D1" w:rsidRDefault="00CC667B" w:rsidP="00C30251">
            <w:r>
              <w:t xml:space="preserve">Full </w:t>
            </w:r>
            <w:r w:rsidR="00DB3DA5">
              <w:t>c</w:t>
            </w:r>
            <w:r>
              <w:t xml:space="preserve">ure </w:t>
            </w:r>
            <w:r w:rsidR="00DB3DA5">
              <w:t>at</w:t>
            </w:r>
            <w:r>
              <w:t xml:space="preserve"> 75</w:t>
            </w:r>
            <w:r>
              <w:rPr>
                <w:rFonts w:cs="Arial"/>
              </w:rPr>
              <w:t>°</w:t>
            </w:r>
            <w:r>
              <w:t>F</w:t>
            </w:r>
            <w:r w:rsidR="00DB3DA5">
              <w:t>/</w:t>
            </w:r>
            <w:r>
              <w:t>23</w:t>
            </w:r>
            <w:r>
              <w:rPr>
                <w:rFonts w:cs="Arial"/>
              </w:rPr>
              <w:t>°</w:t>
            </w:r>
            <w:r>
              <w:t>C</w:t>
            </w:r>
          </w:p>
        </w:tc>
        <w:tc>
          <w:tcPr>
            <w:tcW w:w="2607" w:type="dxa"/>
            <w:shd w:val="clear" w:color="auto" w:fill="auto"/>
            <w:tcMar>
              <w:top w:w="115" w:type="dxa"/>
              <w:left w:w="0" w:type="dxa"/>
              <w:bottom w:w="0" w:type="dxa"/>
              <w:right w:w="0" w:type="dxa"/>
            </w:tcMar>
          </w:tcPr>
          <w:p w14:paraId="77326396" w14:textId="77777777" w:rsidR="00CC667B" w:rsidRPr="00AC35DB" w:rsidRDefault="00CC667B" w:rsidP="00C30251">
            <w:pPr>
              <w:rPr>
                <w:lang w:val="es-MX"/>
              </w:rPr>
            </w:pPr>
            <w:r w:rsidRPr="00AC35DB">
              <w:rPr>
                <w:lang w:val="es-MX"/>
              </w:rPr>
              <w:t>11,000 psi</w:t>
            </w:r>
          </w:p>
          <w:p w14:paraId="6323785C" w14:textId="77777777" w:rsidR="00CC667B" w:rsidRPr="00AC35DB" w:rsidRDefault="00CC667B" w:rsidP="00C30251">
            <w:pPr>
              <w:rPr>
                <w:lang w:val="es-MX"/>
              </w:rPr>
            </w:pPr>
            <w:r w:rsidRPr="00AC35DB">
              <w:rPr>
                <w:lang w:val="es-MX"/>
              </w:rPr>
              <w:t>8,000 psi</w:t>
            </w:r>
          </w:p>
          <w:p w14:paraId="62CD5FD3" w14:textId="77777777" w:rsidR="00CC667B" w:rsidRPr="00AC35DB" w:rsidRDefault="00CC667B" w:rsidP="00C30251">
            <w:pPr>
              <w:rPr>
                <w:lang w:val="es-MX"/>
              </w:rPr>
            </w:pPr>
            <w:r w:rsidRPr="00AC35DB">
              <w:rPr>
                <w:lang w:val="es-MX"/>
              </w:rPr>
              <w:t>14%</w:t>
            </w:r>
          </w:p>
          <w:p w14:paraId="7BE20BE6" w14:textId="77777777" w:rsidR="00CC667B" w:rsidRPr="00AC35DB" w:rsidRDefault="00CC667B" w:rsidP="00C30251">
            <w:pPr>
              <w:rPr>
                <w:lang w:val="es-MX"/>
              </w:rPr>
            </w:pPr>
            <w:r w:rsidRPr="00AC35DB">
              <w:rPr>
                <w:lang w:val="es-MX"/>
              </w:rPr>
              <w:t>10,000 psi</w:t>
            </w:r>
          </w:p>
          <w:p w14:paraId="29EF6620" w14:textId="77777777" w:rsidR="00CC667B" w:rsidRPr="00AC35DB" w:rsidRDefault="00CC667B" w:rsidP="00C30251">
            <w:pPr>
              <w:rPr>
                <w:lang w:val="es-MX"/>
              </w:rPr>
            </w:pPr>
            <w:r w:rsidRPr="00AC35DB">
              <w:rPr>
                <w:lang w:val="es-MX"/>
              </w:rPr>
              <w:t>400,000 psi</w:t>
            </w:r>
          </w:p>
          <w:p w14:paraId="602D9EEF" w14:textId="77777777" w:rsidR="00CC667B" w:rsidRPr="00AC35DB" w:rsidRDefault="00CC667B" w:rsidP="00C30251">
            <w:pPr>
              <w:rPr>
                <w:lang w:val="es-MX"/>
              </w:rPr>
            </w:pPr>
            <w:r w:rsidRPr="00AC35DB">
              <w:rPr>
                <w:lang w:val="es-MX"/>
              </w:rPr>
              <w:t>170,000 psi</w:t>
            </w:r>
          </w:p>
          <w:p w14:paraId="51371156" w14:textId="77777777" w:rsidR="00CC667B" w:rsidRPr="00AC35DB" w:rsidRDefault="00CC667B" w:rsidP="00C30251">
            <w:pPr>
              <w:rPr>
                <w:lang w:val="es-MX"/>
              </w:rPr>
            </w:pPr>
            <w:r w:rsidRPr="00AC35DB">
              <w:rPr>
                <w:lang w:val="es-MX"/>
              </w:rPr>
              <w:t>82</w:t>
            </w:r>
          </w:p>
          <w:p w14:paraId="48A0FA44" w14:textId="77777777" w:rsidR="00CC667B" w:rsidRDefault="00CC667B" w:rsidP="00C30251">
            <w:r>
              <w:t>400 psi</w:t>
            </w:r>
          </w:p>
          <w:p w14:paraId="62ADDD5D" w14:textId="77777777" w:rsidR="00CC667B" w:rsidRDefault="00CC667B" w:rsidP="00C30251">
            <w:r>
              <w:t>&lt;2%</w:t>
            </w:r>
          </w:p>
          <w:p w14:paraId="431230BF" w14:textId="77777777" w:rsidR="00CC667B" w:rsidRDefault="00CC667B" w:rsidP="00C30251">
            <w:r>
              <w:t xml:space="preserve">0.10 Perm </w:t>
            </w:r>
          </w:p>
          <w:p w14:paraId="2BE4E1CF" w14:textId="77777777" w:rsidR="00CC667B" w:rsidRDefault="00CC667B" w:rsidP="00C30251">
            <w:r>
              <w:t>Pass</w:t>
            </w:r>
          </w:p>
          <w:p w14:paraId="06B7948D" w14:textId="77777777" w:rsidR="00CC667B" w:rsidRDefault="00CC667B" w:rsidP="00C30251">
            <w:r>
              <w:t>89 mg/1,000 cycles CS-17</w:t>
            </w:r>
          </w:p>
          <w:p w14:paraId="4BCA8A3D" w14:textId="77777777" w:rsidR="00271438" w:rsidRDefault="00271438" w:rsidP="00C30251">
            <w:r>
              <w:t>14</w:t>
            </w:r>
            <w:r>
              <w:rPr>
                <w:rFonts w:cs="Arial"/>
              </w:rPr>
              <w:t>–</w:t>
            </w:r>
            <w:r>
              <w:t>18 mils</w:t>
            </w:r>
          </w:p>
          <w:p w14:paraId="342615A9" w14:textId="77777777" w:rsidR="00CC667B" w:rsidRDefault="00CC667B" w:rsidP="00C30251"/>
          <w:p w14:paraId="3419C385" w14:textId="77777777" w:rsidR="00CC667B" w:rsidRDefault="00CC667B" w:rsidP="00C30251">
            <w:r>
              <w:t>9.1 lbs/gal</w:t>
            </w:r>
          </w:p>
          <w:p w14:paraId="5B6E97F6" w14:textId="77777777" w:rsidR="00CC667B" w:rsidRDefault="00CC667B" w:rsidP="00C30251">
            <w:r>
              <w:t>100%</w:t>
            </w:r>
          </w:p>
          <w:p w14:paraId="3CC89F9E" w14:textId="77777777" w:rsidR="00CC667B" w:rsidRDefault="00CC667B" w:rsidP="00C30251">
            <w:r>
              <w:t>100%</w:t>
            </w:r>
          </w:p>
          <w:p w14:paraId="77A055C6" w14:textId="77777777" w:rsidR="00CC667B" w:rsidRPr="004E6B85" w:rsidRDefault="00CC667B" w:rsidP="00C30251">
            <w:r w:rsidRPr="004E6B85">
              <w:t>500 cps</w:t>
            </w:r>
          </w:p>
          <w:p w14:paraId="5D0783EA" w14:textId="77777777" w:rsidR="00CC667B" w:rsidRDefault="00CC667B" w:rsidP="00C30251">
            <w:r>
              <w:t>&gt;205oF</w:t>
            </w:r>
          </w:p>
          <w:p w14:paraId="045C92EF" w14:textId="0C026695" w:rsidR="00CC667B" w:rsidRDefault="00752F8C" w:rsidP="00C30251">
            <w:r w:rsidRPr="009637E1">
              <w:t>&lt;100 g/L</w:t>
            </w:r>
          </w:p>
          <w:p w14:paraId="6E7D9604" w14:textId="77777777" w:rsidR="00CC667B" w:rsidRDefault="00CC667B" w:rsidP="00C30251">
            <w:r>
              <w:t>1 year</w:t>
            </w:r>
          </w:p>
          <w:p w14:paraId="62F10452" w14:textId="77777777" w:rsidR="00CC667B" w:rsidRDefault="00CC667B" w:rsidP="00C30251">
            <w:r>
              <w:t>12–16 hours</w:t>
            </w:r>
          </w:p>
          <w:p w14:paraId="533FBB25" w14:textId="77777777" w:rsidR="00CC667B" w:rsidRDefault="00CC667B" w:rsidP="00C30251">
            <w:r>
              <w:t>24 hours</w:t>
            </w:r>
          </w:p>
          <w:p w14:paraId="4EFB4FDC" w14:textId="77777777" w:rsidR="00CC667B" w:rsidRDefault="00CC667B" w:rsidP="00C30251">
            <w:r>
              <w:t>7 days</w:t>
            </w:r>
          </w:p>
        </w:tc>
        <w:tc>
          <w:tcPr>
            <w:tcW w:w="2608" w:type="dxa"/>
            <w:shd w:val="clear" w:color="auto" w:fill="auto"/>
            <w:tcMar>
              <w:top w:w="115" w:type="dxa"/>
              <w:left w:w="0" w:type="dxa"/>
              <w:right w:w="0" w:type="dxa"/>
            </w:tcMar>
          </w:tcPr>
          <w:p w14:paraId="1A338776" w14:textId="77777777" w:rsidR="00CC667B" w:rsidRDefault="00CC667B" w:rsidP="00C30251">
            <w:r>
              <w:t>ASTM D695</w:t>
            </w:r>
          </w:p>
          <w:p w14:paraId="45E079DB" w14:textId="77777777" w:rsidR="00CC667B" w:rsidRDefault="00CC667B" w:rsidP="00C30251">
            <w:r>
              <w:t>ASTM D638</w:t>
            </w:r>
          </w:p>
          <w:p w14:paraId="4FAFA50B" w14:textId="77777777" w:rsidR="00CC667B" w:rsidRDefault="00CC667B" w:rsidP="00C30251">
            <w:r>
              <w:t>ASTM D638</w:t>
            </w:r>
          </w:p>
          <w:p w14:paraId="205B72B6" w14:textId="77777777" w:rsidR="00CC667B" w:rsidRDefault="00CC667B" w:rsidP="00C30251">
            <w:r>
              <w:t>ASTM D790</w:t>
            </w:r>
          </w:p>
          <w:p w14:paraId="6F4C702E" w14:textId="77777777" w:rsidR="00CC667B" w:rsidRDefault="00CC667B" w:rsidP="00C30251">
            <w:r>
              <w:t>ASTM D790</w:t>
            </w:r>
          </w:p>
          <w:p w14:paraId="62787A29" w14:textId="77777777" w:rsidR="00CC667B" w:rsidRDefault="00CC667B" w:rsidP="00C30251">
            <w:r>
              <w:t>ASTM D790</w:t>
            </w:r>
          </w:p>
          <w:p w14:paraId="42F37500" w14:textId="77777777" w:rsidR="00CC667B" w:rsidRDefault="00CC667B" w:rsidP="00C30251">
            <w:r>
              <w:t>ASTM D2240</w:t>
            </w:r>
          </w:p>
          <w:p w14:paraId="10DC4F61" w14:textId="77777777" w:rsidR="00CC667B" w:rsidRDefault="00CC667B" w:rsidP="00C30251">
            <w:r>
              <w:t>ASTM D4541</w:t>
            </w:r>
          </w:p>
          <w:p w14:paraId="6EDDEF90" w14:textId="77777777" w:rsidR="00CC667B" w:rsidRDefault="00CC667B" w:rsidP="00C30251">
            <w:r>
              <w:t>ASTM D570</w:t>
            </w:r>
          </w:p>
          <w:p w14:paraId="533C5169" w14:textId="77777777" w:rsidR="00CC667B" w:rsidRPr="00AC35DB" w:rsidRDefault="00CC667B" w:rsidP="00C30251">
            <w:pPr>
              <w:rPr>
                <w:lang w:val="es-MX"/>
              </w:rPr>
            </w:pPr>
            <w:r w:rsidRPr="00AC35DB">
              <w:rPr>
                <w:lang w:val="es-MX"/>
              </w:rPr>
              <w:t>ASTM E96</w:t>
            </w:r>
          </w:p>
          <w:p w14:paraId="4C0C0AC7" w14:textId="77777777" w:rsidR="00CC667B" w:rsidRPr="00AC35DB" w:rsidRDefault="00CC667B" w:rsidP="00C30251">
            <w:pPr>
              <w:rPr>
                <w:lang w:val="es-MX"/>
              </w:rPr>
            </w:pPr>
            <w:r w:rsidRPr="00AC35DB">
              <w:rPr>
                <w:lang w:val="es-MX"/>
              </w:rPr>
              <w:t>ASTM D635</w:t>
            </w:r>
          </w:p>
          <w:p w14:paraId="050641C6" w14:textId="77777777" w:rsidR="00CC667B" w:rsidRDefault="00CC667B" w:rsidP="00C30251">
            <w:pPr>
              <w:rPr>
                <w:lang w:val="es-MX"/>
              </w:rPr>
            </w:pPr>
            <w:r w:rsidRPr="00AC35DB">
              <w:rPr>
                <w:lang w:val="es-MX"/>
              </w:rPr>
              <w:t>ASTM D4060</w:t>
            </w:r>
          </w:p>
          <w:p w14:paraId="5C15F55C" w14:textId="77777777" w:rsidR="00271438" w:rsidRPr="00AC35DB" w:rsidRDefault="00271438" w:rsidP="00C30251">
            <w:pPr>
              <w:rPr>
                <w:lang w:val="es-MX"/>
              </w:rPr>
            </w:pPr>
          </w:p>
          <w:p w14:paraId="5172BF9C" w14:textId="77777777" w:rsidR="00CC667B" w:rsidRPr="00AC35DB" w:rsidRDefault="00CC667B" w:rsidP="00C30251">
            <w:pPr>
              <w:rPr>
                <w:lang w:val="es-MX"/>
              </w:rPr>
            </w:pPr>
          </w:p>
          <w:p w14:paraId="3A2DA0CF" w14:textId="77777777" w:rsidR="00CC667B" w:rsidRPr="00AB16CE" w:rsidRDefault="00CC667B" w:rsidP="00C30251">
            <w:pPr>
              <w:rPr>
                <w:lang w:val="es-ES"/>
              </w:rPr>
            </w:pPr>
            <w:r w:rsidRPr="00AB16CE">
              <w:rPr>
                <w:lang w:val="es-ES"/>
              </w:rPr>
              <w:t>ASTM D1475</w:t>
            </w:r>
          </w:p>
          <w:p w14:paraId="037EF693" w14:textId="77777777" w:rsidR="00CC667B" w:rsidRPr="00AB16CE" w:rsidRDefault="00CC667B" w:rsidP="00C30251">
            <w:pPr>
              <w:rPr>
                <w:lang w:val="es-ES"/>
              </w:rPr>
            </w:pPr>
            <w:r w:rsidRPr="00AB16CE">
              <w:rPr>
                <w:lang w:val="es-ES"/>
              </w:rPr>
              <w:t>ASTM D4209</w:t>
            </w:r>
          </w:p>
          <w:p w14:paraId="38C622EB" w14:textId="77777777" w:rsidR="00CC667B" w:rsidRPr="00AB16CE" w:rsidRDefault="00CC667B" w:rsidP="00C30251">
            <w:pPr>
              <w:rPr>
                <w:lang w:val="es-ES"/>
              </w:rPr>
            </w:pPr>
            <w:r w:rsidRPr="00AB16CE">
              <w:rPr>
                <w:lang w:val="es-ES"/>
              </w:rPr>
              <w:t>Calculated</w:t>
            </w:r>
          </w:p>
          <w:p w14:paraId="24367015" w14:textId="77777777" w:rsidR="00CC667B" w:rsidRPr="004E6B85" w:rsidRDefault="00CC667B" w:rsidP="00C30251">
            <w:r w:rsidRPr="004E6B85">
              <w:t>ASTM D2196</w:t>
            </w:r>
          </w:p>
          <w:p w14:paraId="57769FE2" w14:textId="6233A3EB" w:rsidR="00CC667B" w:rsidRPr="009637E1" w:rsidRDefault="00AB16CE" w:rsidP="00C30251">
            <w:r w:rsidRPr="009637E1">
              <w:t>Refer to SDS</w:t>
            </w:r>
          </w:p>
          <w:p w14:paraId="7CE07B29" w14:textId="3550E313" w:rsidR="00CC667B" w:rsidRPr="00FC5ADA" w:rsidRDefault="00042951" w:rsidP="00C30251">
            <w:pPr>
              <w:rPr>
                <w:strike/>
              </w:rPr>
            </w:pPr>
            <w:r w:rsidRPr="009637E1">
              <w:t>ASTM D5201</w:t>
            </w:r>
          </w:p>
        </w:tc>
        <w:tc>
          <w:tcPr>
            <w:tcW w:w="2608" w:type="dxa"/>
            <w:shd w:val="clear" w:color="auto" w:fill="auto"/>
            <w:tcMar>
              <w:top w:w="115" w:type="dxa"/>
              <w:left w:w="0" w:type="dxa"/>
              <w:right w:w="0" w:type="dxa"/>
            </w:tcMar>
          </w:tcPr>
          <w:p w14:paraId="4AE1E0D6" w14:textId="77777777" w:rsidR="00CC667B" w:rsidRPr="003138D1" w:rsidRDefault="00CC667B" w:rsidP="00C30251"/>
        </w:tc>
      </w:tr>
      <w:tr w:rsidR="00CC667B" w:rsidRPr="003138D1" w14:paraId="70C3DB0A" w14:textId="77777777" w:rsidTr="00C30251">
        <w:tc>
          <w:tcPr>
            <w:tcW w:w="2977" w:type="dxa"/>
            <w:shd w:val="clear" w:color="auto" w:fill="auto"/>
            <w:tcMar>
              <w:top w:w="0" w:type="dxa"/>
              <w:left w:w="0" w:type="dxa"/>
              <w:bottom w:w="113" w:type="dxa"/>
              <w:right w:w="0" w:type="dxa"/>
            </w:tcMar>
          </w:tcPr>
          <w:p w14:paraId="5126BAC9" w14:textId="77777777" w:rsidR="00CC667B" w:rsidRDefault="00CC667B" w:rsidP="00C30251"/>
        </w:tc>
        <w:tc>
          <w:tcPr>
            <w:tcW w:w="7823" w:type="dxa"/>
            <w:gridSpan w:val="3"/>
            <w:shd w:val="clear" w:color="auto" w:fill="auto"/>
            <w:tcMar>
              <w:top w:w="58" w:type="dxa"/>
              <w:left w:w="0" w:type="dxa"/>
              <w:bottom w:w="113" w:type="dxa"/>
              <w:right w:w="0" w:type="dxa"/>
            </w:tcMar>
          </w:tcPr>
          <w:p w14:paraId="55D89473" w14:textId="77777777" w:rsidR="00CC667B" w:rsidRDefault="00CC667B" w:rsidP="00C30251">
            <w:pPr>
              <w:pStyle w:val="NotesDisclaimers"/>
            </w:pPr>
            <w:r w:rsidRPr="00F474D3">
              <w:t>The above tested results are typical values. Individual lots may vary up to 10% from the typical value. Further technical information can be found at www.neogard.com.</w:t>
            </w:r>
          </w:p>
        </w:tc>
      </w:tr>
      <w:tr w:rsidR="00CC667B" w:rsidRPr="003138D1" w14:paraId="0FEABF6A" w14:textId="77777777" w:rsidTr="00C30251">
        <w:tc>
          <w:tcPr>
            <w:tcW w:w="2977" w:type="dxa"/>
            <w:shd w:val="clear" w:color="auto" w:fill="auto"/>
            <w:tcMar>
              <w:top w:w="113" w:type="dxa"/>
              <w:left w:w="0" w:type="dxa"/>
              <w:bottom w:w="113" w:type="dxa"/>
              <w:right w:w="0" w:type="dxa"/>
            </w:tcMar>
          </w:tcPr>
          <w:p w14:paraId="24B6F19D" w14:textId="77777777" w:rsidR="00CC667B" w:rsidRPr="003138D1" w:rsidRDefault="00CC667B" w:rsidP="00C30251">
            <w:pPr>
              <w:pStyle w:val="Heading1"/>
            </w:pPr>
            <w:r w:rsidRPr="003138D1">
              <w:t>Application details:</w:t>
            </w:r>
          </w:p>
        </w:tc>
        <w:tc>
          <w:tcPr>
            <w:tcW w:w="7823" w:type="dxa"/>
            <w:gridSpan w:val="3"/>
            <w:shd w:val="clear" w:color="auto" w:fill="auto"/>
            <w:tcMar>
              <w:top w:w="113" w:type="dxa"/>
              <w:left w:w="0" w:type="dxa"/>
              <w:bottom w:w="113" w:type="dxa"/>
              <w:right w:w="0" w:type="dxa"/>
            </w:tcMar>
          </w:tcPr>
          <w:p w14:paraId="195FEBEE" w14:textId="77777777" w:rsidR="00CC667B" w:rsidRPr="003138D1" w:rsidRDefault="00CC667B" w:rsidP="00C30251"/>
        </w:tc>
      </w:tr>
      <w:tr w:rsidR="00CC667B" w:rsidRPr="003138D1" w14:paraId="3A60D8D4" w14:textId="77777777" w:rsidTr="00C30251">
        <w:tc>
          <w:tcPr>
            <w:tcW w:w="2977" w:type="dxa"/>
            <w:shd w:val="clear" w:color="auto" w:fill="auto"/>
            <w:tcMar>
              <w:top w:w="113" w:type="dxa"/>
              <w:left w:w="0" w:type="dxa"/>
              <w:bottom w:w="113" w:type="dxa"/>
              <w:right w:w="0" w:type="dxa"/>
            </w:tcMar>
          </w:tcPr>
          <w:p w14:paraId="3BBDF098" w14:textId="77777777" w:rsidR="00CC667B" w:rsidRPr="000F51F4" w:rsidRDefault="00CC667B" w:rsidP="00C30251">
            <w:pPr>
              <w:pStyle w:val="Heading2"/>
            </w:pPr>
            <w:r w:rsidRPr="000F51F4">
              <w:t>Version, mixed product</w:t>
            </w:r>
          </w:p>
          <w:p w14:paraId="00C3BBB5" w14:textId="77777777" w:rsidR="00CC667B" w:rsidRPr="000F51F4" w:rsidRDefault="00CC667B" w:rsidP="00C30251">
            <w:r w:rsidRPr="000F51F4">
              <w:t>Mixing ratio:</w:t>
            </w:r>
          </w:p>
          <w:p w14:paraId="7004C2FA" w14:textId="77777777" w:rsidR="00CC667B" w:rsidRPr="000F51F4" w:rsidRDefault="00CC667B" w:rsidP="00C30251"/>
          <w:p w14:paraId="01B8E1D1" w14:textId="77777777" w:rsidR="00CC667B" w:rsidRDefault="00CC667B" w:rsidP="00C30251">
            <w:r>
              <w:t>Mixing instructions:</w:t>
            </w:r>
          </w:p>
          <w:p w14:paraId="2CBBCAA5" w14:textId="77777777" w:rsidR="00CC667B" w:rsidRDefault="00CC667B" w:rsidP="00C30251"/>
          <w:p w14:paraId="3B59ECDE" w14:textId="77777777" w:rsidR="00CC667B" w:rsidRPr="000F51F4" w:rsidRDefault="00CC667B" w:rsidP="00C30251">
            <w:r w:rsidRPr="000F51F4">
              <w:t>Application method:</w:t>
            </w:r>
          </w:p>
          <w:p w14:paraId="03E0D1BA" w14:textId="77777777" w:rsidR="00CC667B" w:rsidRDefault="00CC667B" w:rsidP="00C30251">
            <w:r w:rsidRPr="000F51F4">
              <w:t>Thinner (max.vol.):</w:t>
            </w:r>
          </w:p>
          <w:p w14:paraId="19CC5AA3" w14:textId="77777777" w:rsidR="006C3322" w:rsidRPr="000F51F4" w:rsidRDefault="006C3322" w:rsidP="00C30251"/>
          <w:p w14:paraId="62DA6E36" w14:textId="7B2723AF" w:rsidR="00CC667B" w:rsidRDefault="00CC667B" w:rsidP="00C30251">
            <w:proofErr w:type="spellStart"/>
            <w:r w:rsidRPr="000F51F4">
              <w:t>Pot</w:t>
            </w:r>
            <w:proofErr w:type="spellEnd"/>
            <w:r w:rsidRPr="000F51F4">
              <w:t xml:space="preserve"> life:</w:t>
            </w:r>
          </w:p>
          <w:p w14:paraId="3AD6D864" w14:textId="77777777" w:rsidR="00436E8E" w:rsidRPr="000F51F4" w:rsidRDefault="00436E8E" w:rsidP="00C30251"/>
          <w:p w14:paraId="70C2FCCF" w14:textId="77777777" w:rsidR="00CC667B" w:rsidRPr="000F51F4" w:rsidRDefault="00CC667B" w:rsidP="00C30251">
            <w:r w:rsidRPr="000F51F4">
              <w:t>Cleaning of tools:</w:t>
            </w:r>
          </w:p>
        </w:tc>
        <w:tc>
          <w:tcPr>
            <w:tcW w:w="7823" w:type="dxa"/>
            <w:gridSpan w:val="3"/>
            <w:shd w:val="clear" w:color="auto" w:fill="auto"/>
            <w:tcMar>
              <w:top w:w="113" w:type="dxa"/>
              <w:left w:w="0" w:type="dxa"/>
              <w:bottom w:w="113" w:type="dxa"/>
              <w:right w:w="0" w:type="dxa"/>
            </w:tcMar>
          </w:tcPr>
          <w:p w14:paraId="03698052" w14:textId="77777777" w:rsidR="00CC667B" w:rsidRPr="000F51F4" w:rsidRDefault="00CC667B" w:rsidP="00C30251">
            <w:pPr>
              <w:pStyle w:val="Heading2"/>
            </w:pPr>
            <w:r>
              <w:lastRenderedPageBreak/>
              <w:t>45</w:t>
            </w:r>
            <w:r w:rsidR="00DB3DA5">
              <w:t>2JB</w:t>
            </w:r>
          </w:p>
          <w:p w14:paraId="016C8BA8" w14:textId="77777777" w:rsidR="00CC667B" w:rsidRPr="000F51F4" w:rsidRDefault="00CC667B" w:rsidP="00C30251">
            <w:r>
              <w:t>Base</w:t>
            </w:r>
            <w:r w:rsidRPr="000F51F4">
              <w:t xml:space="preserve"> </w:t>
            </w:r>
            <w:r>
              <w:t>45</w:t>
            </w:r>
            <w:r w:rsidR="00DB3DA5">
              <w:t>2J</w:t>
            </w:r>
            <w:r>
              <w:t>9</w:t>
            </w:r>
            <w:r w:rsidRPr="000F51F4">
              <w:t xml:space="preserve"> </w:t>
            </w:r>
            <w:r>
              <w:t>: Curing Agent</w:t>
            </w:r>
            <w:r w:rsidRPr="000F51F4">
              <w:t xml:space="preserve"> </w:t>
            </w:r>
            <w:r>
              <w:t>9</w:t>
            </w:r>
            <w:r w:rsidR="00DB3DA5">
              <w:t>61JB</w:t>
            </w:r>
          </w:p>
          <w:p w14:paraId="3C36528C" w14:textId="77777777" w:rsidR="00CC667B" w:rsidRDefault="00CC667B" w:rsidP="00C30251">
            <w:r>
              <w:t>2</w:t>
            </w:r>
            <w:r w:rsidRPr="000F51F4">
              <w:t xml:space="preserve"> : </w:t>
            </w:r>
            <w:r>
              <w:t>1 by volume</w:t>
            </w:r>
          </w:p>
          <w:p w14:paraId="0B098647" w14:textId="77777777" w:rsidR="00CC667B" w:rsidRPr="000F51F4" w:rsidRDefault="00CC667B" w:rsidP="00C30251">
            <w:r>
              <w:t>Pre-mix base for 3–5 minutes before adding curing agent. M</w:t>
            </w:r>
            <w:r w:rsidRPr="000A3EF2">
              <w:t>ix for a minimu</w:t>
            </w:r>
            <w:r>
              <w:t xml:space="preserve">m of </w:t>
            </w:r>
            <w:r w:rsidR="00ED56ED">
              <w:t>3</w:t>
            </w:r>
            <w:r>
              <w:t xml:space="preserve"> minutes before applying. </w:t>
            </w:r>
            <w:r w:rsidRPr="000A3EF2">
              <w:t xml:space="preserve">Jiffy Mixer </w:t>
            </w:r>
            <w:r>
              <w:t xml:space="preserve">paddle </w:t>
            </w:r>
            <w:r w:rsidRPr="000A3EF2">
              <w:t>recomme</w:t>
            </w:r>
            <w:r>
              <w:t>nded.</w:t>
            </w:r>
          </w:p>
          <w:p w14:paraId="07710054" w14:textId="7B2FA41A" w:rsidR="00CC667B" w:rsidRPr="000F51F4" w:rsidRDefault="00CC667B" w:rsidP="00C30251">
            <w:pPr>
              <w:tabs>
                <w:tab w:val="left" w:pos="2693"/>
                <w:tab w:val="left" w:pos="5103"/>
              </w:tabs>
            </w:pPr>
            <w:r>
              <w:t>Roller/Rake/Squeegee/Notched squeegee</w:t>
            </w:r>
            <w:r w:rsidR="001E5380">
              <w:t>/Trowel</w:t>
            </w:r>
          </w:p>
          <w:p w14:paraId="15264247" w14:textId="7B243055" w:rsidR="00CC667B" w:rsidRPr="000F51F4" w:rsidRDefault="006C3322" w:rsidP="00C30251">
            <w:pPr>
              <w:tabs>
                <w:tab w:val="left" w:pos="2693"/>
                <w:tab w:val="left" w:pos="5103"/>
              </w:tabs>
            </w:pPr>
            <w:r w:rsidRPr="009637E1">
              <w:t>Coating is to be applied without thinning.</w:t>
            </w:r>
          </w:p>
          <w:p w14:paraId="77C95443" w14:textId="77777777" w:rsidR="00CC667B" w:rsidRPr="000F51F4" w:rsidRDefault="00CC667B" w:rsidP="00C30251">
            <w:r>
              <w:t>30 minutes at 75</w:t>
            </w:r>
            <w:r w:rsidRPr="000F51F4">
              <w:t>°F</w:t>
            </w:r>
            <w:r w:rsidR="00DB3DA5">
              <w:t>/</w:t>
            </w:r>
            <w:r>
              <w:t>23°C</w:t>
            </w:r>
          </w:p>
          <w:p w14:paraId="01B29092" w14:textId="7091A417" w:rsidR="00CC667B" w:rsidRPr="000F51F4" w:rsidRDefault="00E45700" w:rsidP="00C30251">
            <w:r w:rsidRPr="00686188">
              <w:lastRenderedPageBreak/>
              <w:t>Acetone or other VOC compliant multi-purpose solvents</w:t>
            </w:r>
            <w:r w:rsidR="00856831" w:rsidRPr="00686188">
              <w:t>.  Confirm compliance with Local, S</w:t>
            </w:r>
            <w:r w:rsidR="006C3322" w:rsidRPr="00686188">
              <w:t>tate and Federal air quality before use.</w:t>
            </w:r>
          </w:p>
        </w:tc>
      </w:tr>
      <w:tr w:rsidR="00CC667B" w:rsidRPr="003138D1" w14:paraId="36566AD8" w14:textId="77777777" w:rsidTr="00C30251">
        <w:tc>
          <w:tcPr>
            <w:tcW w:w="2977" w:type="dxa"/>
            <w:shd w:val="clear" w:color="auto" w:fill="auto"/>
            <w:tcMar>
              <w:top w:w="113" w:type="dxa"/>
              <w:left w:w="0" w:type="dxa"/>
              <w:bottom w:w="113" w:type="dxa"/>
              <w:right w:w="0" w:type="dxa"/>
            </w:tcMar>
          </w:tcPr>
          <w:p w14:paraId="306B01CE" w14:textId="77777777" w:rsidR="00CC667B" w:rsidRPr="003138D1" w:rsidRDefault="00CC667B" w:rsidP="00C30251">
            <w:pPr>
              <w:pStyle w:val="Heading2"/>
            </w:pPr>
            <w:r w:rsidRPr="003138D1">
              <w:lastRenderedPageBreak/>
              <w:t>Safety:</w:t>
            </w:r>
          </w:p>
        </w:tc>
        <w:tc>
          <w:tcPr>
            <w:tcW w:w="7823" w:type="dxa"/>
            <w:gridSpan w:val="3"/>
            <w:shd w:val="clear" w:color="auto" w:fill="auto"/>
            <w:tcMar>
              <w:top w:w="113" w:type="dxa"/>
              <w:left w:w="0" w:type="dxa"/>
              <w:bottom w:w="113" w:type="dxa"/>
              <w:right w:w="0" w:type="dxa"/>
            </w:tcMar>
          </w:tcPr>
          <w:p w14:paraId="1430FC94" w14:textId="77777777" w:rsidR="00CC667B" w:rsidRPr="003138D1" w:rsidRDefault="00CC667B" w:rsidP="00C30251">
            <w:r w:rsidRPr="003138D1">
              <w:t xml:space="preserve">Handle with care. </w:t>
            </w:r>
            <w:r>
              <w:t xml:space="preserve">Use with adequate ventilation. </w:t>
            </w:r>
            <w:r w:rsidRPr="003138D1">
              <w:t>Before and during use, observe all</w:t>
            </w:r>
            <w:r>
              <w:t xml:space="preserve"> safety labels on packaging and </w:t>
            </w:r>
            <w:r w:rsidRPr="003138D1">
              <w:t xml:space="preserve">paint containers, consult </w:t>
            </w:r>
            <w:r>
              <w:t>Neogard</w:t>
            </w:r>
            <w:r w:rsidRPr="003138D1">
              <w:t xml:space="preserve"> Safety D</w:t>
            </w:r>
            <w:r>
              <w:t xml:space="preserve">ata Sheets and follow all local </w:t>
            </w:r>
            <w:r w:rsidRPr="003138D1">
              <w:t>or national safety regulations.</w:t>
            </w:r>
          </w:p>
        </w:tc>
      </w:tr>
      <w:tr w:rsidR="00CC667B" w:rsidRPr="003138D1" w14:paraId="73C5C752" w14:textId="77777777" w:rsidTr="00C30251">
        <w:tc>
          <w:tcPr>
            <w:tcW w:w="2977" w:type="dxa"/>
            <w:shd w:val="clear" w:color="auto" w:fill="auto"/>
            <w:tcMar>
              <w:top w:w="113" w:type="dxa"/>
              <w:left w:w="0" w:type="dxa"/>
              <w:bottom w:w="113" w:type="dxa"/>
              <w:right w:w="0" w:type="dxa"/>
            </w:tcMar>
          </w:tcPr>
          <w:p w14:paraId="2C4DB956" w14:textId="77777777" w:rsidR="00CC667B" w:rsidRPr="003138D1" w:rsidRDefault="00CC667B" w:rsidP="00C30251">
            <w:pPr>
              <w:pStyle w:val="Heading2"/>
            </w:pPr>
            <w:r w:rsidRPr="003138D1">
              <w:t>Surface preparation:</w:t>
            </w:r>
          </w:p>
        </w:tc>
        <w:tc>
          <w:tcPr>
            <w:tcW w:w="7823" w:type="dxa"/>
            <w:gridSpan w:val="3"/>
            <w:shd w:val="clear" w:color="auto" w:fill="auto"/>
            <w:tcMar>
              <w:top w:w="113" w:type="dxa"/>
              <w:left w:w="0" w:type="dxa"/>
              <w:bottom w:w="113" w:type="dxa"/>
              <w:right w:w="0" w:type="dxa"/>
            </w:tcMar>
          </w:tcPr>
          <w:p w14:paraId="3CCBDC0E" w14:textId="77777777" w:rsidR="00CC667B" w:rsidRPr="003138D1" w:rsidRDefault="00CC667B" w:rsidP="00C30251">
            <w:r w:rsidRPr="00423BA9">
              <w:t xml:space="preserve">According to </w:t>
            </w:r>
            <w:r>
              <w:t>Neogard</w:t>
            </w:r>
            <w:r w:rsidRPr="00423BA9">
              <w:t xml:space="preserve"> Guide Specifications.</w:t>
            </w:r>
          </w:p>
        </w:tc>
      </w:tr>
      <w:tr w:rsidR="00CC667B" w:rsidRPr="003138D1" w14:paraId="79A6EE3A" w14:textId="77777777" w:rsidTr="00C30251">
        <w:tc>
          <w:tcPr>
            <w:tcW w:w="2977" w:type="dxa"/>
            <w:shd w:val="clear" w:color="auto" w:fill="auto"/>
            <w:tcMar>
              <w:top w:w="113" w:type="dxa"/>
              <w:left w:w="0" w:type="dxa"/>
              <w:bottom w:w="113" w:type="dxa"/>
              <w:right w:w="0" w:type="dxa"/>
            </w:tcMar>
          </w:tcPr>
          <w:p w14:paraId="057C8483" w14:textId="77777777" w:rsidR="00CC667B" w:rsidRPr="003138D1" w:rsidRDefault="00CC667B" w:rsidP="00C30251">
            <w:pPr>
              <w:pStyle w:val="Heading2"/>
            </w:pPr>
            <w:r w:rsidRPr="003138D1">
              <w:t>Application conditions:</w:t>
            </w:r>
          </w:p>
        </w:tc>
        <w:tc>
          <w:tcPr>
            <w:tcW w:w="7823" w:type="dxa"/>
            <w:gridSpan w:val="3"/>
            <w:shd w:val="clear" w:color="auto" w:fill="auto"/>
            <w:tcMar>
              <w:top w:w="113" w:type="dxa"/>
              <w:left w:w="0" w:type="dxa"/>
              <w:bottom w:w="113" w:type="dxa"/>
              <w:right w:w="0" w:type="dxa"/>
            </w:tcMar>
          </w:tcPr>
          <w:p w14:paraId="14F4427A" w14:textId="77777777" w:rsidR="00CC667B" w:rsidRPr="003138D1" w:rsidRDefault="00CC667B" w:rsidP="00C30251">
            <w:r>
              <w:t>Ambient temperature must be between 50°F</w:t>
            </w:r>
            <w:r w:rsidR="00DB3DA5">
              <w:t>/</w:t>
            </w:r>
            <w:r>
              <w:t>10°C and 85°F</w:t>
            </w:r>
            <w:r w:rsidR="00DB3DA5">
              <w:t>/</w:t>
            </w:r>
            <w:r>
              <w:t>29</w:t>
            </w:r>
            <w:r w:rsidRPr="00925666">
              <w:t>°C</w:t>
            </w:r>
            <w:r>
              <w:t xml:space="preserve">, and </w:t>
            </w:r>
            <w:r w:rsidRPr="00925666">
              <w:t>a minimum of 5°F</w:t>
            </w:r>
            <w:r w:rsidR="00271438">
              <w:t>/</w:t>
            </w:r>
            <w:r w:rsidRPr="00925666">
              <w:t>3°C above dew point.</w:t>
            </w:r>
          </w:p>
        </w:tc>
      </w:tr>
      <w:tr w:rsidR="00CC667B" w:rsidRPr="003138D1" w14:paraId="0082A3FB" w14:textId="77777777" w:rsidTr="00C30251">
        <w:tc>
          <w:tcPr>
            <w:tcW w:w="2977" w:type="dxa"/>
            <w:shd w:val="clear" w:color="auto" w:fill="auto"/>
            <w:tcMar>
              <w:top w:w="113" w:type="dxa"/>
              <w:left w:w="0" w:type="dxa"/>
              <w:bottom w:w="113" w:type="dxa"/>
              <w:right w:w="0" w:type="dxa"/>
            </w:tcMar>
          </w:tcPr>
          <w:p w14:paraId="140E11D9" w14:textId="77777777" w:rsidR="00CC667B" w:rsidRPr="003138D1" w:rsidRDefault="00CC667B" w:rsidP="00C30251">
            <w:pPr>
              <w:pStyle w:val="Heading2"/>
            </w:pPr>
            <w:r w:rsidRPr="003138D1">
              <w:t>Preceding coat:</w:t>
            </w:r>
          </w:p>
        </w:tc>
        <w:tc>
          <w:tcPr>
            <w:tcW w:w="7823" w:type="dxa"/>
            <w:gridSpan w:val="3"/>
            <w:shd w:val="clear" w:color="auto" w:fill="auto"/>
            <w:tcMar>
              <w:top w:w="113" w:type="dxa"/>
              <w:left w:w="0" w:type="dxa"/>
              <w:bottom w:w="113" w:type="dxa"/>
              <w:right w:w="0" w:type="dxa"/>
            </w:tcMar>
          </w:tcPr>
          <w:p w14:paraId="7ACF5F29" w14:textId="77777777" w:rsidR="00CC667B" w:rsidRDefault="00CC667B" w:rsidP="00C30251">
            <w:r w:rsidRPr="00983D49">
              <w:t xml:space="preserve">According to </w:t>
            </w:r>
            <w:r>
              <w:t>Neogard</w:t>
            </w:r>
            <w:r w:rsidRPr="00983D49">
              <w:t xml:space="preserve"> Guide Specifications.</w:t>
            </w:r>
          </w:p>
        </w:tc>
      </w:tr>
      <w:tr w:rsidR="00CC667B" w:rsidRPr="003138D1" w14:paraId="6F43DC6F" w14:textId="77777777" w:rsidTr="00C30251">
        <w:tc>
          <w:tcPr>
            <w:tcW w:w="2977" w:type="dxa"/>
            <w:shd w:val="clear" w:color="auto" w:fill="auto"/>
            <w:tcMar>
              <w:top w:w="113" w:type="dxa"/>
              <w:left w:w="0" w:type="dxa"/>
              <w:bottom w:w="113" w:type="dxa"/>
              <w:right w:w="0" w:type="dxa"/>
            </w:tcMar>
          </w:tcPr>
          <w:p w14:paraId="2ED97FDE" w14:textId="77777777" w:rsidR="00CC667B" w:rsidRPr="003138D1" w:rsidRDefault="00CC667B" w:rsidP="00C30251">
            <w:pPr>
              <w:pStyle w:val="Heading2"/>
            </w:pPr>
            <w:r w:rsidRPr="003138D1">
              <w:t>Subsequent coat:</w:t>
            </w:r>
          </w:p>
        </w:tc>
        <w:tc>
          <w:tcPr>
            <w:tcW w:w="7823" w:type="dxa"/>
            <w:gridSpan w:val="3"/>
            <w:shd w:val="clear" w:color="auto" w:fill="auto"/>
            <w:tcMar>
              <w:top w:w="113" w:type="dxa"/>
              <w:left w:w="0" w:type="dxa"/>
              <w:bottom w:w="113" w:type="dxa"/>
              <w:right w:w="0" w:type="dxa"/>
            </w:tcMar>
          </w:tcPr>
          <w:p w14:paraId="690B3D84" w14:textId="77777777" w:rsidR="00CC667B" w:rsidRDefault="00CC667B" w:rsidP="00C30251">
            <w:r w:rsidRPr="00983D49">
              <w:t xml:space="preserve">According to </w:t>
            </w:r>
            <w:r>
              <w:t>Neogard</w:t>
            </w:r>
            <w:r w:rsidRPr="00983D49">
              <w:t xml:space="preserve"> Guide Specifications.</w:t>
            </w:r>
          </w:p>
        </w:tc>
      </w:tr>
      <w:tr w:rsidR="00CC667B" w:rsidRPr="003138D1" w14:paraId="2216C644" w14:textId="77777777" w:rsidTr="00C30251">
        <w:tc>
          <w:tcPr>
            <w:tcW w:w="2977" w:type="dxa"/>
            <w:shd w:val="clear" w:color="auto" w:fill="auto"/>
            <w:tcMar>
              <w:top w:w="113" w:type="dxa"/>
              <w:left w:w="0" w:type="dxa"/>
              <w:bottom w:w="113" w:type="dxa"/>
              <w:right w:w="0" w:type="dxa"/>
            </w:tcMar>
          </w:tcPr>
          <w:p w14:paraId="196C9100" w14:textId="77777777" w:rsidR="00CC667B" w:rsidRDefault="00CC667B" w:rsidP="00C30251">
            <w:pPr>
              <w:pStyle w:val="Heading2"/>
            </w:pPr>
            <w:r>
              <w:t>Storage temperature:</w:t>
            </w:r>
          </w:p>
        </w:tc>
        <w:tc>
          <w:tcPr>
            <w:tcW w:w="7823" w:type="dxa"/>
            <w:gridSpan w:val="3"/>
            <w:shd w:val="clear" w:color="auto" w:fill="auto"/>
            <w:tcMar>
              <w:top w:w="113" w:type="dxa"/>
              <w:left w:w="0" w:type="dxa"/>
              <w:bottom w:w="113" w:type="dxa"/>
              <w:right w:w="0" w:type="dxa"/>
            </w:tcMar>
          </w:tcPr>
          <w:p w14:paraId="75037E72" w14:textId="77777777" w:rsidR="00CC667B" w:rsidRPr="003138D1" w:rsidRDefault="00CC667B" w:rsidP="00C30251">
            <w:r w:rsidRPr="006068EA">
              <w:t>Store in a cool area to ensure full shelf life. Recommended temperature: 70°F</w:t>
            </w:r>
            <w:r w:rsidR="00DB3DA5">
              <w:t>/</w:t>
            </w:r>
            <w:r w:rsidRPr="006068EA">
              <w:t>21°C.</w:t>
            </w:r>
          </w:p>
        </w:tc>
      </w:tr>
      <w:tr w:rsidR="00CC667B" w:rsidRPr="003138D1" w14:paraId="78047FAD" w14:textId="77777777" w:rsidTr="00C30251">
        <w:tc>
          <w:tcPr>
            <w:tcW w:w="2977" w:type="dxa"/>
            <w:shd w:val="clear" w:color="auto" w:fill="auto"/>
            <w:tcMar>
              <w:top w:w="113" w:type="dxa"/>
              <w:left w:w="0" w:type="dxa"/>
              <w:bottom w:w="113" w:type="dxa"/>
              <w:right w:w="0" w:type="dxa"/>
            </w:tcMar>
          </w:tcPr>
          <w:p w14:paraId="5EC0D314" w14:textId="77777777" w:rsidR="00CC667B" w:rsidRPr="003138D1" w:rsidRDefault="00CC667B" w:rsidP="00C30251">
            <w:pPr>
              <w:pStyle w:val="Heading2"/>
            </w:pPr>
            <w:r w:rsidRPr="003138D1">
              <w:t>Remarks:</w:t>
            </w:r>
          </w:p>
        </w:tc>
        <w:tc>
          <w:tcPr>
            <w:tcW w:w="7823" w:type="dxa"/>
            <w:gridSpan w:val="3"/>
            <w:shd w:val="clear" w:color="auto" w:fill="auto"/>
            <w:tcMar>
              <w:top w:w="113" w:type="dxa"/>
              <w:left w:w="0" w:type="dxa"/>
              <w:bottom w:w="113" w:type="dxa"/>
              <w:right w:w="0" w:type="dxa"/>
            </w:tcMar>
          </w:tcPr>
          <w:p w14:paraId="266E7ED5" w14:textId="77777777" w:rsidR="00CC667B" w:rsidRPr="003138D1" w:rsidRDefault="00CC667B" w:rsidP="00C30251">
            <w:r>
              <w:t>For interior use only.</w:t>
            </w:r>
          </w:p>
        </w:tc>
      </w:tr>
    </w:tbl>
    <w:p w14:paraId="5FA308EE" w14:textId="77777777" w:rsidR="00850E99" w:rsidRPr="003138D1" w:rsidRDefault="00850E99">
      <w:pPr>
        <w:rPr>
          <w:color w:val="0033A0"/>
        </w:rPr>
      </w:pPr>
    </w:p>
    <w:tbl>
      <w:tblPr>
        <w:tblpPr w:leftFromText="187" w:rightFromText="187" w:horzAnchor="margin" w:tblpYSpec="bottom"/>
        <w:tblW w:w="10800" w:type="dxa"/>
        <w:tblLook w:val="04A0" w:firstRow="1" w:lastRow="0" w:firstColumn="1" w:lastColumn="0" w:noHBand="0" w:noVBand="1"/>
      </w:tblPr>
      <w:tblGrid>
        <w:gridCol w:w="2977"/>
        <w:gridCol w:w="7823"/>
      </w:tblGrid>
      <w:tr w:rsidR="00850E99" w:rsidRPr="003138D1" w14:paraId="364BF098" w14:textId="77777777" w:rsidTr="00850E99">
        <w:tc>
          <w:tcPr>
            <w:tcW w:w="2977" w:type="dxa"/>
            <w:shd w:val="clear" w:color="auto" w:fill="auto"/>
            <w:tcMar>
              <w:top w:w="113" w:type="dxa"/>
              <w:left w:w="0" w:type="dxa"/>
              <w:bottom w:w="113" w:type="dxa"/>
              <w:right w:w="0" w:type="dxa"/>
            </w:tcMar>
          </w:tcPr>
          <w:p w14:paraId="0C9A80AF" w14:textId="77777777" w:rsidR="00850E99" w:rsidRPr="003138D1" w:rsidRDefault="00850E99" w:rsidP="00850E99">
            <w:r w:rsidRPr="003138D1">
              <w:t>Note:</w:t>
            </w:r>
          </w:p>
        </w:tc>
        <w:tc>
          <w:tcPr>
            <w:tcW w:w="7823" w:type="dxa"/>
            <w:shd w:val="clear" w:color="auto" w:fill="auto"/>
            <w:tcMar>
              <w:top w:w="113" w:type="dxa"/>
              <w:left w:w="0" w:type="dxa"/>
              <w:bottom w:w="113" w:type="dxa"/>
              <w:right w:w="0" w:type="dxa"/>
            </w:tcMar>
          </w:tcPr>
          <w:p w14:paraId="1E477478" w14:textId="169AF8DB" w:rsidR="00850E99" w:rsidRPr="003138D1" w:rsidRDefault="00842D93" w:rsidP="00823140">
            <w:pPr>
              <w:rPr>
                <w:b/>
              </w:rPr>
            </w:pPr>
            <w:r w:rsidRPr="00842D93">
              <w:rPr>
                <w:b/>
                <w:bCs/>
              </w:rPr>
              <w:t>70736/70737</w:t>
            </w:r>
            <w:r w:rsidR="00DB3DA5">
              <w:t xml:space="preserve"> </w:t>
            </w:r>
            <w:r w:rsidR="00850E99" w:rsidRPr="003138D1">
              <w:rPr>
                <w:b/>
              </w:rPr>
              <w:t>is for professional use only.</w:t>
            </w:r>
          </w:p>
        </w:tc>
      </w:tr>
      <w:tr w:rsidR="00850E99" w:rsidRPr="003138D1" w14:paraId="05D7DAD8" w14:textId="77777777" w:rsidTr="00850E99">
        <w:tc>
          <w:tcPr>
            <w:tcW w:w="2977" w:type="dxa"/>
            <w:shd w:val="clear" w:color="auto" w:fill="auto"/>
            <w:tcMar>
              <w:top w:w="113" w:type="dxa"/>
              <w:left w:w="0" w:type="dxa"/>
              <w:bottom w:w="113" w:type="dxa"/>
              <w:right w:w="0" w:type="dxa"/>
            </w:tcMar>
          </w:tcPr>
          <w:p w14:paraId="1A59B842" w14:textId="77777777" w:rsidR="00850E99" w:rsidRPr="003138D1" w:rsidRDefault="00850E99" w:rsidP="00850E99">
            <w:pPr>
              <w:pStyle w:val="Heading2"/>
              <w:rPr>
                <w:b w:val="0"/>
              </w:rPr>
            </w:pPr>
            <w:r w:rsidRPr="003138D1">
              <w:rPr>
                <w:b w:val="0"/>
              </w:rPr>
              <w:t>Issued by:</w:t>
            </w:r>
          </w:p>
        </w:tc>
        <w:tc>
          <w:tcPr>
            <w:tcW w:w="7823" w:type="dxa"/>
            <w:shd w:val="clear" w:color="auto" w:fill="auto"/>
            <w:tcMar>
              <w:top w:w="113" w:type="dxa"/>
              <w:left w:w="0" w:type="dxa"/>
              <w:bottom w:w="113" w:type="dxa"/>
              <w:right w:w="0" w:type="dxa"/>
            </w:tcMar>
          </w:tcPr>
          <w:p w14:paraId="7EFE88ED" w14:textId="77777777" w:rsidR="00850E99" w:rsidRPr="003138D1" w:rsidRDefault="00850E99" w:rsidP="00850E99">
            <w:r>
              <w:t>Hempel</w:t>
            </w:r>
            <w:r w:rsidR="00711EA3">
              <w:t xml:space="preserve"> (USA)</w:t>
            </w:r>
            <w:r w:rsidRPr="003138D1">
              <w:t xml:space="preserve"> – </w:t>
            </w:r>
            <w:r w:rsidR="004525A3">
              <w:t>45</w:t>
            </w:r>
            <w:r w:rsidR="00DB3DA5">
              <w:t>2JB</w:t>
            </w:r>
          </w:p>
        </w:tc>
      </w:tr>
      <w:tr w:rsidR="00850E99" w:rsidRPr="003138D1" w14:paraId="16F76FF3" w14:textId="77777777" w:rsidTr="00850E99">
        <w:tc>
          <w:tcPr>
            <w:tcW w:w="10800" w:type="dxa"/>
            <w:gridSpan w:val="2"/>
            <w:shd w:val="clear" w:color="auto" w:fill="auto"/>
            <w:tcMar>
              <w:top w:w="113" w:type="dxa"/>
              <w:left w:w="0" w:type="dxa"/>
              <w:bottom w:w="113" w:type="dxa"/>
              <w:right w:w="0" w:type="dxa"/>
            </w:tcMar>
          </w:tcPr>
          <w:p w14:paraId="7C5E89F2" w14:textId="77777777" w:rsidR="00786B6F" w:rsidRDefault="00786B6F" w:rsidP="00786B6F">
            <w:pPr>
              <w:rPr>
                <w:sz w:val="14"/>
                <w:szCs w:val="14"/>
              </w:rPr>
            </w:pPr>
            <w:r w:rsidRPr="00625B5B">
              <w:rPr>
                <w:sz w:val="14"/>
                <w:szCs w:val="14"/>
              </w:rPr>
              <w:t>This Product Data Sheet (“</w:t>
            </w:r>
            <w:r w:rsidRPr="00625B5B">
              <w:rPr>
                <w:b/>
                <w:bCs/>
                <w:sz w:val="14"/>
                <w:szCs w:val="14"/>
              </w:rPr>
              <w:t>PDS</w:t>
            </w:r>
            <w:r w:rsidRPr="00625B5B">
              <w:rPr>
                <w:sz w:val="14"/>
                <w:szCs w:val="14"/>
              </w:rPr>
              <w:t>”) relates to the supplied product (“</w:t>
            </w:r>
            <w:r w:rsidRPr="00625B5B">
              <w:rPr>
                <w:b/>
                <w:bCs/>
                <w:sz w:val="14"/>
                <w:szCs w:val="14"/>
              </w:rPr>
              <w:t>Product</w:t>
            </w:r>
            <w:r w:rsidRPr="00625B5B">
              <w:rPr>
                <w:sz w:val="14"/>
                <w:szCs w:val="14"/>
              </w:rPr>
              <w:t>”) and is subject to update from time-to-time. Accordingly, the buyer/applicator should refer to the PDS current as of the time of delivery. In addition to the PDS, the buyer/applicator may receive some or all of the specifications, statements and/or guidelines listed below or available at www.neogard.com (the “</w:t>
            </w:r>
            <w:r w:rsidRPr="00625B5B">
              <w:rPr>
                <w:b/>
                <w:bCs/>
                <w:sz w:val="14"/>
                <w:szCs w:val="14"/>
              </w:rPr>
              <w:t>Additional Documents</w:t>
            </w:r>
            <w:r w:rsidRPr="00625B5B">
              <w:rPr>
                <w:sz w:val="14"/>
                <w:szCs w:val="14"/>
              </w:rPr>
              <w:t>”):</w:t>
            </w:r>
          </w:p>
          <w:p w14:paraId="51DF0093" w14:textId="77777777" w:rsidR="00786B6F" w:rsidRDefault="00786B6F" w:rsidP="00786B6F">
            <w:pPr>
              <w:rPr>
                <w:sz w:val="14"/>
                <w:szCs w:val="14"/>
              </w:rPr>
            </w:pPr>
          </w:p>
          <w:p w14:paraId="7325E463" w14:textId="77777777" w:rsidR="00786B6F" w:rsidRPr="00707011" w:rsidRDefault="00786B6F" w:rsidP="00786B6F">
            <w:pPr>
              <w:rPr>
                <w:b/>
                <w:bCs/>
                <w:sz w:val="14"/>
                <w:szCs w:val="14"/>
              </w:rPr>
            </w:pPr>
            <w:r w:rsidRPr="00625B5B">
              <w:rPr>
                <w:b/>
                <w:bCs/>
                <w:sz w:val="14"/>
                <w:szCs w:val="14"/>
              </w:rPr>
              <w:t>No.</w:t>
            </w:r>
            <w:r w:rsidRPr="00625B5B">
              <w:rPr>
                <w:b/>
                <w:bCs/>
                <w:sz w:val="14"/>
                <w:szCs w:val="14"/>
              </w:rPr>
              <w:tab/>
              <w:t>Document Description</w:t>
            </w:r>
          </w:p>
          <w:p w14:paraId="0FB793C4" w14:textId="77777777" w:rsidR="00786B6F" w:rsidRPr="00625B5B" w:rsidRDefault="00786B6F" w:rsidP="00786B6F">
            <w:pPr>
              <w:rPr>
                <w:sz w:val="14"/>
                <w:szCs w:val="14"/>
              </w:rPr>
            </w:pPr>
            <w:r w:rsidRPr="00625B5B">
              <w:rPr>
                <w:sz w:val="14"/>
                <w:szCs w:val="14"/>
              </w:rPr>
              <w:t>1</w:t>
            </w:r>
            <w:r w:rsidRPr="00625B5B">
              <w:rPr>
                <w:sz w:val="14"/>
                <w:szCs w:val="14"/>
              </w:rPr>
              <w:tab/>
              <w:t>PDS</w:t>
            </w:r>
          </w:p>
          <w:p w14:paraId="10AC8BF7" w14:textId="77777777" w:rsidR="00786B6F" w:rsidRPr="00625B5B" w:rsidRDefault="00786B6F" w:rsidP="00786B6F">
            <w:pPr>
              <w:rPr>
                <w:sz w:val="14"/>
                <w:szCs w:val="14"/>
              </w:rPr>
            </w:pPr>
            <w:r w:rsidRPr="00625B5B">
              <w:rPr>
                <w:sz w:val="14"/>
                <w:szCs w:val="14"/>
              </w:rPr>
              <w:t>2</w:t>
            </w:r>
            <w:r w:rsidRPr="00625B5B">
              <w:rPr>
                <w:sz w:val="14"/>
                <w:szCs w:val="14"/>
              </w:rPr>
              <w:tab/>
              <w:t>Guide Specification</w:t>
            </w:r>
          </w:p>
          <w:p w14:paraId="46823A54" w14:textId="77777777" w:rsidR="00786B6F" w:rsidRPr="00625B5B" w:rsidRDefault="00786B6F" w:rsidP="00786B6F">
            <w:pPr>
              <w:rPr>
                <w:sz w:val="14"/>
                <w:szCs w:val="14"/>
              </w:rPr>
            </w:pPr>
            <w:r w:rsidRPr="00625B5B">
              <w:rPr>
                <w:sz w:val="14"/>
                <w:szCs w:val="14"/>
              </w:rPr>
              <w:t>3</w:t>
            </w:r>
            <w:r w:rsidRPr="00625B5B">
              <w:rPr>
                <w:sz w:val="14"/>
                <w:szCs w:val="14"/>
              </w:rPr>
              <w:tab/>
              <w:t>Application Manual</w:t>
            </w:r>
          </w:p>
          <w:p w14:paraId="0D0479D1" w14:textId="77777777" w:rsidR="00786B6F" w:rsidRDefault="00786B6F" w:rsidP="00786B6F">
            <w:pPr>
              <w:rPr>
                <w:sz w:val="14"/>
                <w:szCs w:val="14"/>
              </w:rPr>
            </w:pPr>
            <w:r w:rsidRPr="00625B5B">
              <w:rPr>
                <w:sz w:val="14"/>
                <w:szCs w:val="14"/>
              </w:rPr>
              <w:t>4</w:t>
            </w:r>
            <w:r w:rsidRPr="00625B5B">
              <w:rPr>
                <w:sz w:val="14"/>
                <w:szCs w:val="14"/>
              </w:rPr>
              <w:tab/>
              <w:t xml:space="preserve">Other Technical Support Information (i.e. summary application tables, troubleshooting guides, maintenance manuals, chemical resistance charts and other </w:t>
            </w:r>
            <w:r>
              <w:rPr>
                <w:sz w:val="14"/>
                <w:szCs w:val="14"/>
              </w:rPr>
              <w:tab/>
            </w:r>
            <w:r w:rsidRPr="00625B5B">
              <w:rPr>
                <w:sz w:val="14"/>
                <w:szCs w:val="14"/>
              </w:rPr>
              <w:t>technical information )</w:t>
            </w:r>
          </w:p>
          <w:p w14:paraId="7FC1FD78" w14:textId="77777777" w:rsidR="00786B6F" w:rsidRDefault="00786B6F" w:rsidP="00786B6F">
            <w:pPr>
              <w:rPr>
                <w:sz w:val="14"/>
                <w:szCs w:val="14"/>
              </w:rPr>
            </w:pPr>
          </w:p>
          <w:p w14:paraId="5025EDC9" w14:textId="77777777" w:rsidR="00786B6F" w:rsidRPr="00625B5B" w:rsidRDefault="00786B6F" w:rsidP="00786B6F">
            <w:pPr>
              <w:rPr>
                <w:sz w:val="14"/>
                <w:szCs w:val="14"/>
              </w:rPr>
            </w:pPr>
            <w:r w:rsidRPr="00625B5B">
              <w:rPr>
                <w:sz w:val="14"/>
                <w:szCs w:val="14"/>
              </w:rPr>
              <w:t>In the event of a conflict between this PDS and the Additional Documents, the conflict shall be resolved in accordance with the order of priority set forth above.</w:t>
            </w:r>
          </w:p>
          <w:p w14:paraId="5A202856" w14:textId="77777777" w:rsidR="00786B6F" w:rsidRDefault="00786B6F" w:rsidP="00786B6F">
            <w:pPr>
              <w:rPr>
                <w:sz w:val="14"/>
                <w:szCs w:val="14"/>
              </w:rPr>
            </w:pPr>
            <w:r w:rsidRPr="00625B5B">
              <w:rPr>
                <w:sz w:val="14"/>
                <w:szCs w:val="14"/>
              </w:rPr>
              <w:t xml:space="preserve">In addition, the buyer/applicator should refer to the relevant Safety Data Sheet current as of the time of delivery and available at www.neogard.com. </w:t>
            </w:r>
          </w:p>
          <w:p w14:paraId="1EB84FCC" w14:textId="77777777" w:rsidR="00786B6F" w:rsidRPr="00625B5B" w:rsidRDefault="00786B6F" w:rsidP="00786B6F">
            <w:pPr>
              <w:rPr>
                <w:sz w:val="14"/>
                <w:szCs w:val="14"/>
              </w:rPr>
            </w:pPr>
            <w:r w:rsidRPr="00625B5B">
              <w:rPr>
                <w:sz w:val="14"/>
                <w:szCs w:val="14"/>
              </w:rPr>
              <w:t>Buyer/applicator is responsible for determining the suitability of the intended use of the Product, and Neogard disclaims all responsibility for any use, handling and storage of the Product that is not in accordance with the requirements set forth in the relevant PDS and the Additional Documents. The terms and provisions hereof apply to this PDS, the Additional Documents and any other documents supplied by Neogard in respect of the Product.</w:t>
            </w:r>
          </w:p>
          <w:p w14:paraId="1FDA15CF" w14:textId="77777777" w:rsidR="00786B6F" w:rsidRDefault="00786B6F" w:rsidP="00786B6F">
            <w:pPr>
              <w:rPr>
                <w:sz w:val="14"/>
                <w:szCs w:val="14"/>
              </w:rPr>
            </w:pPr>
            <w:r w:rsidRPr="00625B5B">
              <w:rPr>
                <w:sz w:val="14"/>
                <w:szCs w:val="14"/>
              </w:rPr>
              <w:t>The Product is supplied and all technical assistance is given subject to the General Conditions of Sale of Hempel Products and/or Services available at www.hempel.com. NEOGARD MAKES NO OTHER WARRANTY THAT EXTENDS BEYOND THE WARRANTY REFERENCED THEREIN INCLUDING, WITHOUT LIMITATION, ANY IMPLIED WARRANTIES OR CONDITIONS OF MERCHANTABILITY OR FITNESS FOR A PARTICULAR PURPOSE. NEOGARD WILL NOT BE LIABLE FOR ANY INCIDENTAL OR CONSEQUENTIAL DAMAGES FOR BREACH OF ANY EXPRESS OR IMPLIED WARRANTY OR CONDITION, OR THAT IN ANY WAY ARISE IN RELATION TO THE PRODUCT.</w:t>
            </w:r>
          </w:p>
          <w:p w14:paraId="0C8371BB" w14:textId="2B0B64D6" w:rsidR="00786B6F" w:rsidRPr="00F202BE" w:rsidRDefault="00786B6F" w:rsidP="00786B6F">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 xml:space="preserve">DRAFT 70736-70737-PDS tp </w:t>
            </w:r>
            <w:r w:rsidR="00686188">
              <w:rPr>
                <w:noProof/>
                <w:sz w:val="14"/>
                <w:szCs w:val="14"/>
              </w:rPr>
              <w:t>sas 0620</w:t>
            </w:r>
            <w:r>
              <w:rPr>
                <w:noProof/>
                <w:sz w:val="14"/>
                <w:szCs w:val="14"/>
              </w:rPr>
              <w:t>202</w:t>
            </w:r>
            <w:r w:rsidR="003838C2">
              <w:rPr>
                <w:noProof/>
                <w:sz w:val="14"/>
                <w:szCs w:val="14"/>
              </w:rPr>
              <w:t>3</w:t>
            </w:r>
            <w:r>
              <w:rPr>
                <w:noProof/>
                <w:sz w:val="14"/>
                <w:szCs w:val="14"/>
              </w:rPr>
              <w:t>.docx</w:t>
            </w:r>
            <w:r>
              <w:rPr>
                <w:sz w:val="14"/>
                <w:szCs w:val="14"/>
              </w:rPr>
              <w:fldChar w:fldCharType="end"/>
            </w:r>
          </w:p>
          <w:p w14:paraId="29AECA02" w14:textId="77777777" w:rsidR="00786B6F" w:rsidRPr="00F202BE" w:rsidRDefault="00786B6F" w:rsidP="00786B6F">
            <w:pPr>
              <w:rPr>
                <w:sz w:val="14"/>
                <w:szCs w:val="14"/>
              </w:rPr>
            </w:pPr>
          </w:p>
          <w:p w14:paraId="3188759C" w14:textId="77777777" w:rsidR="00786B6F" w:rsidRPr="00F202BE" w:rsidRDefault="00786B6F" w:rsidP="00786B6F">
            <w:pPr>
              <w:rPr>
                <w:sz w:val="14"/>
                <w:szCs w:val="14"/>
              </w:rPr>
            </w:pPr>
            <w:r>
              <w:rPr>
                <w:sz w:val="14"/>
                <w:szCs w:val="14"/>
              </w:rPr>
              <w:t>Neogard</w:t>
            </w:r>
            <w:r w:rsidRPr="008F588C">
              <w:rPr>
                <w:sz w:val="14"/>
                <w:szCs w:val="14"/>
                <w:vertAlign w:val="superscript"/>
              </w:rPr>
              <w:t>®</w:t>
            </w:r>
            <w:r w:rsidRPr="00F202BE">
              <w:rPr>
                <w:sz w:val="14"/>
                <w:szCs w:val="14"/>
              </w:rPr>
              <w:t xml:space="preserve">, a </w:t>
            </w:r>
            <w:r>
              <w:rPr>
                <w:sz w:val="14"/>
                <w:szCs w:val="14"/>
              </w:rPr>
              <w:t>part</w:t>
            </w:r>
            <w:r w:rsidRPr="00F202BE">
              <w:rPr>
                <w:sz w:val="14"/>
                <w:szCs w:val="14"/>
              </w:rPr>
              <w:t xml:space="preserve"> of Hempel</w:t>
            </w:r>
          </w:p>
          <w:p w14:paraId="58D24D97" w14:textId="5B14B511" w:rsidR="00850E99" w:rsidRPr="003138D1" w:rsidRDefault="00786B6F" w:rsidP="00786B6F">
            <w:pPr>
              <w:pStyle w:val="LegalStatement"/>
            </w:pPr>
            <w:r w:rsidRPr="00F202BE">
              <w:t>2728 Empire Central - Dallas, Texas 75235 - Phone (214) 353-1600 - Fax (214) 357-7532 - www.neogard.com</w:t>
            </w:r>
          </w:p>
        </w:tc>
      </w:tr>
    </w:tbl>
    <w:p w14:paraId="2D8E8BCE" w14:textId="77777777" w:rsidR="008C0EB7" w:rsidRPr="007D40E8" w:rsidRDefault="007D40E8" w:rsidP="007D40E8">
      <w:pPr>
        <w:tabs>
          <w:tab w:val="left" w:pos="3450"/>
        </w:tabs>
      </w:pPr>
      <w:r>
        <w:tab/>
      </w:r>
    </w:p>
    <w:sectPr w:rsidR="008C0EB7" w:rsidRPr="007D40E8" w:rsidSect="00427B9A">
      <w:headerReference w:type="default" r:id="rId11"/>
      <w:footerReference w:type="default" r:id="rId12"/>
      <w:headerReference w:type="first" r:id="rId13"/>
      <w:footerReference w:type="first" r:id="rId14"/>
      <w:pgSz w:w="12240" w:h="15840" w:code="1"/>
      <w:pgMar w:top="1872" w:right="720" w:bottom="576" w:left="720" w:header="461" w:footer="28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ABED" w14:textId="77777777" w:rsidR="00395A2E" w:rsidRDefault="00395A2E">
      <w:r>
        <w:separator/>
      </w:r>
    </w:p>
  </w:endnote>
  <w:endnote w:type="continuationSeparator" w:id="0">
    <w:p w14:paraId="4779BDEE" w14:textId="77777777" w:rsidR="00395A2E" w:rsidRDefault="00395A2E">
      <w:r>
        <w:continuationSeparator/>
      </w:r>
    </w:p>
  </w:endnote>
  <w:endnote w:type="continuationNotice" w:id="1">
    <w:p w14:paraId="1E08AB48" w14:textId="77777777" w:rsidR="004766BA" w:rsidRDefault="00476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Book">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12E" w14:textId="68CEDE1E" w:rsidR="000C3908" w:rsidRPr="00C915E7" w:rsidRDefault="008D25CC" w:rsidP="00C915E7">
    <w:pPr>
      <w:pStyle w:val="FooterText"/>
    </w:pPr>
    <w:r w:rsidRPr="00C915E7">
      <w:t>Issued</w:t>
    </w:r>
    <w:r w:rsidR="00A21EDE" w:rsidRPr="00C915E7">
      <w:t xml:space="preserve">: </w:t>
    </w:r>
    <w:r w:rsidR="003838C2">
      <w:t>June 2023</w:t>
    </w:r>
    <w:r w:rsidR="00A21EDE" w:rsidRPr="00C915E7">
      <w:tab/>
      <w:t xml:space="preserve">Page: </w:t>
    </w:r>
    <w:r w:rsidR="00A21EDE" w:rsidRPr="00C915E7">
      <w:fldChar w:fldCharType="begin"/>
    </w:r>
    <w:r w:rsidR="00A21EDE" w:rsidRPr="00C915E7">
      <w:instrText xml:space="preserve"> PAGE  \* MERGEFORMAT </w:instrText>
    </w:r>
    <w:r w:rsidR="00A21EDE" w:rsidRPr="00C915E7">
      <w:fldChar w:fldCharType="separate"/>
    </w:r>
    <w:r w:rsidR="007256C0">
      <w:rPr>
        <w:noProof/>
      </w:rPr>
      <w:t>1</w:t>
    </w:r>
    <w:r w:rsidR="00A21EDE" w:rsidRPr="00C915E7">
      <w:fldChar w:fldCharType="end"/>
    </w:r>
    <w:r w:rsidR="00A21EDE" w:rsidRPr="00C915E7">
      <w:t>/</w:t>
    </w:r>
    <w:fldSimple w:instr=" NUMPAGES  \* MERGEFORMAT ">
      <w:r w:rsidR="007256C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199D" w14:textId="77777777" w:rsidR="003C0823" w:rsidRDefault="00FC2BD4">
    <w:pPr>
      <w:pStyle w:val="Footer"/>
    </w:pPr>
    <w:r>
      <w:t xml:space="preserve">Version: </w:t>
    </w:r>
    <w:r w:rsidR="003C237D" w:rsidRPr="009715B8">
      <w:fldChar w:fldCharType="begin"/>
    </w:r>
    <w:r w:rsidR="003C237D" w:rsidRPr="009715B8">
      <w:instrText xml:space="preserve"> MACROBUTTON NoMacro &lt;</w:instrText>
    </w:r>
    <w:r w:rsidR="003C237D">
      <w:instrText>Text</w:instrText>
    </w:r>
    <w:r w:rsidR="003C237D" w:rsidRPr="009715B8">
      <w:instrText>&gt;</w:instrText>
    </w:r>
    <w:r w:rsidR="003C237D" w:rsidRPr="009715B8">
      <w:fldChar w:fldCharType="end"/>
    </w:r>
    <w:r w:rsidR="00F436F2">
      <w:tab/>
      <w:t xml:space="preserve">Page: </w:t>
    </w:r>
    <w:r w:rsidR="00714FBA">
      <w:fldChar w:fldCharType="begin"/>
    </w:r>
    <w:r w:rsidR="00714FBA">
      <w:instrText xml:space="preserve"> PAGE  \* MERGEFORMAT </w:instrText>
    </w:r>
    <w:r w:rsidR="00714FBA">
      <w:fldChar w:fldCharType="separate"/>
    </w:r>
    <w:r w:rsidR="00A21EDE">
      <w:rPr>
        <w:noProof/>
      </w:rPr>
      <w:t>1</w:t>
    </w:r>
    <w:r w:rsidR="00714FBA">
      <w:fldChar w:fldCharType="end"/>
    </w:r>
    <w:r w:rsidR="00D16EA4">
      <w:t>/</w:t>
    </w:r>
    <w:fldSimple w:instr=" NUMPAGES  \* MERGEFORMAT ">
      <w:r w:rsidR="007256C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8923" w14:textId="77777777" w:rsidR="00395A2E" w:rsidRDefault="00395A2E">
      <w:r>
        <w:separator/>
      </w:r>
    </w:p>
  </w:footnote>
  <w:footnote w:type="continuationSeparator" w:id="0">
    <w:p w14:paraId="6BC437E9" w14:textId="77777777" w:rsidR="00395A2E" w:rsidRDefault="00395A2E">
      <w:r>
        <w:continuationSeparator/>
      </w:r>
    </w:p>
  </w:footnote>
  <w:footnote w:type="continuationNotice" w:id="1">
    <w:p w14:paraId="7765E36C" w14:textId="77777777" w:rsidR="004766BA" w:rsidRDefault="00476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61C" w14:textId="456C72CC" w:rsidR="006E79EE" w:rsidRDefault="00C915E7" w:rsidP="00AD68B4">
    <w:pPr>
      <w:pStyle w:val="DocumentType"/>
    </w:pPr>
    <w:r>
      <w:rPr>
        <w:noProof/>
        <w:lang w:eastAsia="zh-CN"/>
      </w:rPr>
      <w:drawing>
        <wp:anchor distT="0" distB="0" distL="114300" distR="114300" simplePos="0" relativeHeight="251657728" behindDoc="0" locked="0" layoutInCell="1" allowOverlap="1" wp14:anchorId="0FC1F8B8" wp14:editId="1F6F70C1">
          <wp:simplePos x="0" y="0"/>
          <wp:positionH relativeFrom="margin">
            <wp:posOffset>4784076</wp:posOffset>
          </wp:positionH>
          <wp:positionV relativeFrom="page">
            <wp:posOffset>295275</wp:posOffset>
          </wp:positionV>
          <wp:extent cx="1999008" cy="494030"/>
          <wp:effectExtent l="0" t="0" r="1270" b="127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tionery_A4_300dpi_smaller 2.png"/>
                  <pic:cNvPicPr>
                    <a:picLocks noChangeAspect="1" noChangeArrowheads="1"/>
                  </pic:cNvPicPr>
                </pic:nvPicPr>
                <pic:blipFill>
                  <a:blip r:embed="rId1"/>
                  <a:stretch>
                    <a:fillRect/>
                  </a:stretch>
                </pic:blipFill>
                <pic:spPr bwMode="auto">
                  <a:xfrm>
                    <a:off x="0" y="0"/>
                    <a:ext cx="1999008"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9EE" w:rsidRPr="00424B74">
      <w:fldChar w:fldCharType="begin"/>
    </w:r>
    <w:r w:rsidR="006E79EE" w:rsidRPr="00424B74">
      <w:instrText xml:space="preserve"> MACROBUTTON NoMacro Product Data Sheet</w:instrText>
    </w:r>
    <w:r w:rsidR="006E79EE" w:rsidRPr="00424B74">
      <w:fldChar w:fldCharType="end"/>
    </w:r>
  </w:p>
  <w:p w14:paraId="53D0D10F" w14:textId="5B0AD392" w:rsidR="00547535" w:rsidRDefault="000C1BDC" w:rsidP="007F427E">
    <w:pPr>
      <w:pStyle w:val="HeaderProductName"/>
    </w:pPr>
    <w:r>
      <w:t xml:space="preserve">70736/70737 </w:t>
    </w:r>
    <w:r w:rsidR="008F0A35">
      <w:rPr>
        <w:rFonts w:cs="Arial"/>
      </w:rPr>
      <w:t>—</w:t>
    </w:r>
    <w:r w:rsidR="008F0A35">
      <w:t xml:space="preserve"> </w:t>
    </w:r>
    <w:r w:rsidR="00EC1887">
      <w:t>Cove Base UV</w:t>
    </w:r>
  </w:p>
  <w:p w14:paraId="0CF11D55" w14:textId="77777777" w:rsidR="00FB0B64" w:rsidRPr="006E79EE" w:rsidRDefault="00CC667B" w:rsidP="007F427E">
    <w:pPr>
      <w:pStyle w:val="HeaderProductName"/>
    </w:pPr>
    <w:r>
      <w:t>45</w:t>
    </w:r>
    <w:r w:rsidR="00EC1887">
      <w:t>2JB</w:t>
    </w:r>
    <w:r w:rsidR="00547535">
      <w:t xml:space="preserve">: Base </w:t>
    </w:r>
    <w:r>
      <w:t>45</w:t>
    </w:r>
    <w:r w:rsidR="00EC1887">
      <w:t>2J9</w:t>
    </w:r>
    <w:r w:rsidR="00547535">
      <w:t xml:space="preserve"> : Curing Agent </w:t>
    </w:r>
    <w:r w:rsidR="002D39F1">
      <w:rPr>
        <w:noProof/>
        <w:lang w:eastAsia="zh-CN"/>
      </w:rPr>
      <mc:AlternateContent>
        <mc:Choice Requires="wps">
          <w:drawing>
            <wp:anchor distT="4294967295" distB="4294967295" distL="114300" distR="114300" simplePos="0" relativeHeight="251658752" behindDoc="0" locked="0" layoutInCell="1" allowOverlap="1" wp14:anchorId="114561A6" wp14:editId="2DBFE65C">
              <wp:simplePos x="0" y="0"/>
              <wp:positionH relativeFrom="column">
                <wp:posOffset>0</wp:posOffset>
              </wp:positionH>
              <wp:positionV relativeFrom="page">
                <wp:posOffset>1079500</wp:posOffset>
              </wp:positionV>
              <wp:extent cx="68580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rgbClr val="C8102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70061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" strokecolor="#c8102e" strokeweight=".5pt">
              <o:lock v:ext="edit" shapetype="f"/>
              <w10:wrap anchory="page"/>
            </v:line>
          </w:pict>
        </mc:Fallback>
      </mc:AlternateContent>
    </w:r>
    <w:r>
      <w:t>9</w:t>
    </w:r>
    <w:r w:rsidR="00EC1887">
      <w:t>61JB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964A" w14:textId="77777777" w:rsidR="008C1129" w:rsidRDefault="00493513">
    <w:pPr>
      <w:pStyle w:val="Header"/>
    </w:pPr>
    <w:r w:rsidRPr="00B026D2">
      <w:fldChar w:fldCharType="begin"/>
    </w:r>
    <w:r w:rsidRPr="00B026D2">
      <w:instrText xml:space="preserve"> MACROB</w:instrText>
    </w:r>
    <w:r>
      <w:instrText>UTTON No</w:instrText>
    </w:r>
    <w:r w:rsidR="00FD007D">
      <w:instrText>Macro Product Data Sheet</w:instrText>
    </w:r>
    <w:r w:rsidRPr="00B026D2">
      <w:fldChar w:fldCharType="end"/>
    </w:r>
  </w:p>
  <w:p w14:paraId="5ECB874C" w14:textId="77777777" w:rsidR="00DA77CD" w:rsidRDefault="002C6F9F" w:rsidP="009715B8">
    <w:pPr>
      <w:pStyle w:val="HeaderProductName"/>
    </w:pPr>
    <w:r w:rsidRPr="009715B8">
      <w:fldChar w:fldCharType="begin"/>
    </w:r>
    <w:r w:rsidRPr="009715B8">
      <w:instrText xml:space="preserve"> MACROBUTTON NoMacro &lt;Product Name&gt;</w:instrText>
    </w:r>
    <w:r w:rsidRPr="009715B8">
      <w:fldChar w:fldCharType="end"/>
    </w:r>
  </w:p>
  <w:p w14:paraId="41125689" w14:textId="77777777" w:rsidR="00FB0B64" w:rsidRPr="009715B8" w:rsidRDefault="002D39F1" w:rsidP="009715B8">
    <w:pPr>
      <w:pStyle w:val="HeaderProductName"/>
    </w:pPr>
    <w:r>
      <w:rPr>
        <w:noProof/>
        <w:lang w:eastAsia="zh-CN"/>
      </w:rPr>
      <mc:AlternateContent>
        <mc:Choice Requires="wps">
          <w:drawing>
            <wp:anchor distT="4294967295" distB="4294967295" distL="114300" distR="114300" simplePos="0" relativeHeight="251656704" behindDoc="0" locked="0" layoutInCell="1" allowOverlap="1" wp14:anchorId="35F53515" wp14:editId="1B02426B">
              <wp:simplePos x="0" y="0"/>
              <wp:positionH relativeFrom="column">
                <wp:posOffset>0</wp:posOffset>
              </wp:positionH>
              <wp:positionV relativeFrom="page">
                <wp:posOffset>1080134</wp:posOffset>
              </wp:positionV>
              <wp:extent cx="6696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rgbClr val="009FD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148702"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0,85.05pt" to="527.2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" strokecolor="#009fdf" strokeweight=".5pt">
              <o:lock v:ext="edit" shapetype="f"/>
              <w10:wrap anchory="page"/>
            </v:line>
          </w:pict>
        </mc:Fallback>
      </mc:AlternateContent>
    </w:r>
    <w:r w:rsidR="00434AE2">
      <w:t xml:space="preserve">Mix: Base </w:t>
    </w:r>
    <w:r w:rsidR="00DA77CD" w:rsidRPr="009715B8">
      <w:fldChar w:fldCharType="begin"/>
    </w:r>
    <w:r w:rsidR="00DA77CD" w:rsidRPr="009715B8">
      <w:instrText xml:space="preserve"> MACROBUTTON NoMacro &lt;</w:instrText>
    </w:r>
    <w:r w:rsidR="00434AE2">
      <w:instrText>Text</w:instrText>
    </w:r>
    <w:r w:rsidR="00DA77CD" w:rsidRPr="009715B8">
      <w:instrText>&gt;</w:instrText>
    </w:r>
    <w:r w:rsidR="00DA77CD" w:rsidRPr="009715B8">
      <w:fldChar w:fldCharType="end"/>
    </w:r>
    <w:r>
      <w:rPr>
        <w:noProof/>
        <w:lang w:eastAsia="zh-CN"/>
      </w:rPr>
      <w:drawing>
        <wp:anchor distT="0" distB="0" distL="114300" distR="114300" simplePos="0" relativeHeight="251655680" behindDoc="0" locked="0" layoutInCell="1" allowOverlap="1" wp14:anchorId="40BAC9E7" wp14:editId="58E08440">
          <wp:simplePos x="0" y="0"/>
          <wp:positionH relativeFrom="page">
            <wp:posOffset>4979670</wp:posOffset>
          </wp:positionH>
          <wp:positionV relativeFrom="page">
            <wp:posOffset>287655</wp:posOffset>
          </wp:positionV>
          <wp:extent cx="2156460" cy="525780"/>
          <wp:effectExtent l="0" t="0" r="0" b="7620"/>
          <wp:wrapNone/>
          <wp:docPr id="1" name="Picture 5" descr="Description: Stationery_A4_300dpi_small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tationery_A4_300dpi_small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246">
      <w:t xml:space="preserve"> : Curing Agent </w:t>
    </w:r>
    <w:r w:rsidR="00EE3246" w:rsidRPr="009715B8">
      <w:fldChar w:fldCharType="begin"/>
    </w:r>
    <w:r w:rsidR="00EE3246" w:rsidRPr="009715B8">
      <w:instrText xml:space="preserve"> MACROBUTTON NoMacro &lt;</w:instrText>
    </w:r>
    <w:r w:rsidR="00EE3246">
      <w:instrText>Text</w:instrText>
    </w:r>
    <w:r w:rsidR="00EE3246" w:rsidRPr="009715B8">
      <w:instrText>&gt;</w:instrText>
    </w:r>
    <w:r w:rsidR="00EE3246" w:rsidRPr="009715B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74F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787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7209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46B8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8EE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C57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8696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EE54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58D5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542D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6A8C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36C9D"/>
    <w:multiLevelType w:val="multilevel"/>
    <w:tmpl w:val="A53EA67E"/>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D72CB8"/>
    <w:multiLevelType w:val="hybridMultilevel"/>
    <w:tmpl w:val="A53EA67E"/>
    <w:lvl w:ilvl="0" w:tplc="C20E140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8041A"/>
    <w:multiLevelType w:val="hybridMultilevel"/>
    <w:tmpl w:val="182CA86C"/>
    <w:lvl w:ilvl="0" w:tplc="AC583DD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86DA3"/>
    <w:multiLevelType w:val="hybridMultilevel"/>
    <w:tmpl w:val="AE6E2526"/>
    <w:lvl w:ilvl="0" w:tplc="931E4EAE">
      <w:start w:val="1"/>
      <w:numFmt w:val="bullet"/>
      <w:pStyle w:val="Bullets"/>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539D1"/>
    <w:multiLevelType w:val="hybridMultilevel"/>
    <w:tmpl w:val="236E9CC2"/>
    <w:lvl w:ilvl="0" w:tplc="4FC0F3F4">
      <w:start w:val="1"/>
      <w:numFmt w:val="bullet"/>
      <w:pStyle w:val="ColorfulList-Accent1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075117">
    <w:abstractNumId w:val="9"/>
  </w:num>
  <w:num w:numId="2" w16cid:durableId="52822205">
    <w:abstractNumId w:val="4"/>
  </w:num>
  <w:num w:numId="3" w16cid:durableId="269507383">
    <w:abstractNumId w:val="0"/>
  </w:num>
  <w:num w:numId="4" w16cid:durableId="421950192">
    <w:abstractNumId w:val="13"/>
  </w:num>
  <w:num w:numId="5" w16cid:durableId="1651983094">
    <w:abstractNumId w:val="12"/>
  </w:num>
  <w:num w:numId="6" w16cid:durableId="1541437539">
    <w:abstractNumId w:val="11"/>
  </w:num>
  <w:num w:numId="7" w16cid:durableId="1450392702">
    <w:abstractNumId w:val="15"/>
  </w:num>
  <w:num w:numId="8" w16cid:durableId="841701207">
    <w:abstractNumId w:val="14"/>
  </w:num>
  <w:num w:numId="9" w16cid:durableId="179122435">
    <w:abstractNumId w:val="1"/>
  </w:num>
  <w:num w:numId="10" w16cid:durableId="1194729785">
    <w:abstractNumId w:val="2"/>
  </w:num>
  <w:num w:numId="11" w16cid:durableId="1602911603">
    <w:abstractNumId w:val="3"/>
  </w:num>
  <w:num w:numId="12" w16cid:durableId="251161100">
    <w:abstractNumId w:val="5"/>
  </w:num>
  <w:num w:numId="13" w16cid:durableId="1848252458">
    <w:abstractNumId w:val="6"/>
  </w:num>
  <w:num w:numId="14" w16cid:durableId="2137093356">
    <w:abstractNumId w:val="7"/>
  </w:num>
  <w:num w:numId="15" w16cid:durableId="1892226737">
    <w:abstractNumId w:val="8"/>
  </w:num>
  <w:num w:numId="16" w16cid:durableId="476650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strokecolor="none [3213]">
      <v:stroke color="none [3213]" weight=".25pt"/>
      <v:shadow opacity="22938f" offset="0"/>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A3"/>
    <w:rsid w:val="00002FE6"/>
    <w:rsid w:val="0000321A"/>
    <w:rsid w:val="00006BE2"/>
    <w:rsid w:val="00010664"/>
    <w:rsid w:val="00012D00"/>
    <w:rsid w:val="00013A93"/>
    <w:rsid w:val="00013ADD"/>
    <w:rsid w:val="0001542B"/>
    <w:rsid w:val="00015BAE"/>
    <w:rsid w:val="000165D2"/>
    <w:rsid w:val="000217BD"/>
    <w:rsid w:val="00024312"/>
    <w:rsid w:val="000270ED"/>
    <w:rsid w:val="00034354"/>
    <w:rsid w:val="00036B0C"/>
    <w:rsid w:val="00040527"/>
    <w:rsid w:val="00041466"/>
    <w:rsid w:val="00042951"/>
    <w:rsid w:val="00043DD1"/>
    <w:rsid w:val="00045F5B"/>
    <w:rsid w:val="00065D38"/>
    <w:rsid w:val="000666AE"/>
    <w:rsid w:val="00067AA7"/>
    <w:rsid w:val="00071B34"/>
    <w:rsid w:val="00075FA3"/>
    <w:rsid w:val="00080021"/>
    <w:rsid w:val="000871FE"/>
    <w:rsid w:val="000963E8"/>
    <w:rsid w:val="000A095F"/>
    <w:rsid w:val="000B1FA7"/>
    <w:rsid w:val="000B2091"/>
    <w:rsid w:val="000B5773"/>
    <w:rsid w:val="000C1BDC"/>
    <w:rsid w:val="000C2CE4"/>
    <w:rsid w:val="000C3908"/>
    <w:rsid w:val="000C5B90"/>
    <w:rsid w:val="000C7DD6"/>
    <w:rsid w:val="000D184C"/>
    <w:rsid w:val="000D1D6D"/>
    <w:rsid w:val="000D345C"/>
    <w:rsid w:val="000E1829"/>
    <w:rsid w:val="000E2E71"/>
    <w:rsid w:val="000E3433"/>
    <w:rsid w:val="000E44CA"/>
    <w:rsid w:val="000F18E9"/>
    <w:rsid w:val="000F51F4"/>
    <w:rsid w:val="000F75A3"/>
    <w:rsid w:val="00103F75"/>
    <w:rsid w:val="001069F6"/>
    <w:rsid w:val="00107C98"/>
    <w:rsid w:val="00112E67"/>
    <w:rsid w:val="00113044"/>
    <w:rsid w:val="00122C53"/>
    <w:rsid w:val="00127757"/>
    <w:rsid w:val="00132F01"/>
    <w:rsid w:val="00134948"/>
    <w:rsid w:val="001360E8"/>
    <w:rsid w:val="001368CE"/>
    <w:rsid w:val="00140AD9"/>
    <w:rsid w:val="00144DBD"/>
    <w:rsid w:val="001456F8"/>
    <w:rsid w:val="00162222"/>
    <w:rsid w:val="00166439"/>
    <w:rsid w:val="00177E56"/>
    <w:rsid w:val="00183410"/>
    <w:rsid w:val="001913F8"/>
    <w:rsid w:val="00193263"/>
    <w:rsid w:val="001957FA"/>
    <w:rsid w:val="001B2754"/>
    <w:rsid w:val="001B546D"/>
    <w:rsid w:val="001B6F8A"/>
    <w:rsid w:val="001C1B3F"/>
    <w:rsid w:val="001C3297"/>
    <w:rsid w:val="001C4498"/>
    <w:rsid w:val="001C6D8D"/>
    <w:rsid w:val="001C7688"/>
    <w:rsid w:val="001D44A5"/>
    <w:rsid w:val="001D485E"/>
    <w:rsid w:val="001D4CB5"/>
    <w:rsid w:val="001D7169"/>
    <w:rsid w:val="001E1E61"/>
    <w:rsid w:val="001E2612"/>
    <w:rsid w:val="001E3FA2"/>
    <w:rsid w:val="001E5380"/>
    <w:rsid w:val="001E582C"/>
    <w:rsid w:val="001E5BC7"/>
    <w:rsid w:val="001E70E7"/>
    <w:rsid w:val="001F113C"/>
    <w:rsid w:val="001F320F"/>
    <w:rsid w:val="001F3DC5"/>
    <w:rsid w:val="002001EC"/>
    <w:rsid w:val="00205E9F"/>
    <w:rsid w:val="00210A0B"/>
    <w:rsid w:val="00211F62"/>
    <w:rsid w:val="00217790"/>
    <w:rsid w:val="00222C87"/>
    <w:rsid w:val="00240590"/>
    <w:rsid w:val="00240AFC"/>
    <w:rsid w:val="002438E5"/>
    <w:rsid w:val="002465A3"/>
    <w:rsid w:val="002500EA"/>
    <w:rsid w:val="00250632"/>
    <w:rsid w:val="0025157C"/>
    <w:rsid w:val="002562B4"/>
    <w:rsid w:val="0026256A"/>
    <w:rsid w:val="00262DBE"/>
    <w:rsid w:val="002710C1"/>
    <w:rsid w:val="00271438"/>
    <w:rsid w:val="00274C19"/>
    <w:rsid w:val="00275E94"/>
    <w:rsid w:val="00281427"/>
    <w:rsid w:val="00287A14"/>
    <w:rsid w:val="002A3B95"/>
    <w:rsid w:val="002A5CD7"/>
    <w:rsid w:val="002B4113"/>
    <w:rsid w:val="002C06A3"/>
    <w:rsid w:val="002C35E9"/>
    <w:rsid w:val="002C6F9F"/>
    <w:rsid w:val="002D39F1"/>
    <w:rsid w:val="002D5202"/>
    <w:rsid w:val="002E0FE7"/>
    <w:rsid w:val="002E4101"/>
    <w:rsid w:val="002E7D27"/>
    <w:rsid w:val="002F2AB3"/>
    <w:rsid w:val="002F4ECF"/>
    <w:rsid w:val="002F7CFC"/>
    <w:rsid w:val="0030063C"/>
    <w:rsid w:val="0030297E"/>
    <w:rsid w:val="003047B2"/>
    <w:rsid w:val="003138D1"/>
    <w:rsid w:val="0032400A"/>
    <w:rsid w:val="00325D3E"/>
    <w:rsid w:val="00326E2D"/>
    <w:rsid w:val="00332D9A"/>
    <w:rsid w:val="003345C1"/>
    <w:rsid w:val="00335D62"/>
    <w:rsid w:val="003415B1"/>
    <w:rsid w:val="00341E56"/>
    <w:rsid w:val="00347DA4"/>
    <w:rsid w:val="00352683"/>
    <w:rsid w:val="003536D7"/>
    <w:rsid w:val="00353D6D"/>
    <w:rsid w:val="00355FD4"/>
    <w:rsid w:val="003628DF"/>
    <w:rsid w:val="00363E7B"/>
    <w:rsid w:val="0036410B"/>
    <w:rsid w:val="003740A1"/>
    <w:rsid w:val="003802BD"/>
    <w:rsid w:val="003838C2"/>
    <w:rsid w:val="0039329F"/>
    <w:rsid w:val="00395A2E"/>
    <w:rsid w:val="003A21BC"/>
    <w:rsid w:val="003C0823"/>
    <w:rsid w:val="003C2178"/>
    <w:rsid w:val="003C237D"/>
    <w:rsid w:val="003C4514"/>
    <w:rsid w:val="003C5615"/>
    <w:rsid w:val="003D2BEC"/>
    <w:rsid w:val="003D760D"/>
    <w:rsid w:val="003E650C"/>
    <w:rsid w:val="003F0C6A"/>
    <w:rsid w:val="0040258E"/>
    <w:rsid w:val="00405F51"/>
    <w:rsid w:val="00411E9D"/>
    <w:rsid w:val="00412305"/>
    <w:rsid w:val="0041347D"/>
    <w:rsid w:val="00421848"/>
    <w:rsid w:val="00423A4D"/>
    <w:rsid w:val="00424B74"/>
    <w:rsid w:val="00427B9A"/>
    <w:rsid w:val="0043134A"/>
    <w:rsid w:val="00434898"/>
    <w:rsid w:val="00434AE2"/>
    <w:rsid w:val="00436E8E"/>
    <w:rsid w:val="004401CA"/>
    <w:rsid w:val="00442343"/>
    <w:rsid w:val="004469C6"/>
    <w:rsid w:val="00447A74"/>
    <w:rsid w:val="004507E0"/>
    <w:rsid w:val="00451544"/>
    <w:rsid w:val="004525A3"/>
    <w:rsid w:val="0045399B"/>
    <w:rsid w:val="00471559"/>
    <w:rsid w:val="004766BA"/>
    <w:rsid w:val="00487CBD"/>
    <w:rsid w:val="00493513"/>
    <w:rsid w:val="00494819"/>
    <w:rsid w:val="004A3E40"/>
    <w:rsid w:val="004A5DF0"/>
    <w:rsid w:val="004B0A9F"/>
    <w:rsid w:val="004B22C7"/>
    <w:rsid w:val="004B4DA4"/>
    <w:rsid w:val="004B5688"/>
    <w:rsid w:val="004B70E6"/>
    <w:rsid w:val="004C083E"/>
    <w:rsid w:val="004C2809"/>
    <w:rsid w:val="004C6E44"/>
    <w:rsid w:val="004D7514"/>
    <w:rsid w:val="004E0456"/>
    <w:rsid w:val="004E5800"/>
    <w:rsid w:val="004E6B85"/>
    <w:rsid w:val="004F6F06"/>
    <w:rsid w:val="00502770"/>
    <w:rsid w:val="005051A2"/>
    <w:rsid w:val="005117E2"/>
    <w:rsid w:val="00512A58"/>
    <w:rsid w:val="00513337"/>
    <w:rsid w:val="00515882"/>
    <w:rsid w:val="005202AE"/>
    <w:rsid w:val="005347E6"/>
    <w:rsid w:val="00540484"/>
    <w:rsid w:val="00541A13"/>
    <w:rsid w:val="00542188"/>
    <w:rsid w:val="00547535"/>
    <w:rsid w:val="00547DC6"/>
    <w:rsid w:val="00550946"/>
    <w:rsid w:val="0055305B"/>
    <w:rsid w:val="00555AB9"/>
    <w:rsid w:val="00556AA6"/>
    <w:rsid w:val="00556E0A"/>
    <w:rsid w:val="00557578"/>
    <w:rsid w:val="00561B81"/>
    <w:rsid w:val="005625B0"/>
    <w:rsid w:val="00563988"/>
    <w:rsid w:val="00571CD3"/>
    <w:rsid w:val="00573345"/>
    <w:rsid w:val="00585F8B"/>
    <w:rsid w:val="00586548"/>
    <w:rsid w:val="005903CA"/>
    <w:rsid w:val="0059697B"/>
    <w:rsid w:val="005A7C78"/>
    <w:rsid w:val="005B1A6E"/>
    <w:rsid w:val="005B3D16"/>
    <w:rsid w:val="005B46C3"/>
    <w:rsid w:val="005B4FAF"/>
    <w:rsid w:val="005C01C7"/>
    <w:rsid w:val="005D2B7C"/>
    <w:rsid w:val="005D2C98"/>
    <w:rsid w:val="005E197F"/>
    <w:rsid w:val="005E3D49"/>
    <w:rsid w:val="005E5962"/>
    <w:rsid w:val="005E7FBB"/>
    <w:rsid w:val="005F12E2"/>
    <w:rsid w:val="005F2F46"/>
    <w:rsid w:val="005F6631"/>
    <w:rsid w:val="005F7990"/>
    <w:rsid w:val="00613FA2"/>
    <w:rsid w:val="006156D7"/>
    <w:rsid w:val="00617971"/>
    <w:rsid w:val="00623620"/>
    <w:rsid w:val="00624D8A"/>
    <w:rsid w:val="0063144C"/>
    <w:rsid w:val="006320BF"/>
    <w:rsid w:val="00642DF4"/>
    <w:rsid w:val="006524BB"/>
    <w:rsid w:val="0066001B"/>
    <w:rsid w:val="00664286"/>
    <w:rsid w:val="00666908"/>
    <w:rsid w:val="00670CC1"/>
    <w:rsid w:val="00673275"/>
    <w:rsid w:val="0067327A"/>
    <w:rsid w:val="006778EE"/>
    <w:rsid w:val="006843B6"/>
    <w:rsid w:val="00686188"/>
    <w:rsid w:val="00687F37"/>
    <w:rsid w:val="006919FA"/>
    <w:rsid w:val="00693371"/>
    <w:rsid w:val="00696836"/>
    <w:rsid w:val="006A6BD1"/>
    <w:rsid w:val="006B009D"/>
    <w:rsid w:val="006B79DB"/>
    <w:rsid w:val="006C07FF"/>
    <w:rsid w:val="006C1D49"/>
    <w:rsid w:val="006C3322"/>
    <w:rsid w:val="006D7D24"/>
    <w:rsid w:val="006E7880"/>
    <w:rsid w:val="006E79EE"/>
    <w:rsid w:val="006F2E31"/>
    <w:rsid w:val="006F34F3"/>
    <w:rsid w:val="007049A6"/>
    <w:rsid w:val="00706664"/>
    <w:rsid w:val="00706887"/>
    <w:rsid w:val="00711EA3"/>
    <w:rsid w:val="007135BE"/>
    <w:rsid w:val="00714FBA"/>
    <w:rsid w:val="007256C0"/>
    <w:rsid w:val="0073064B"/>
    <w:rsid w:val="00741C54"/>
    <w:rsid w:val="00742F37"/>
    <w:rsid w:val="00744EAD"/>
    <w:rsid w:val="00752F8C"/>
    <w:rsid w:val="007544E8"/>
    <w:rsid w:val="00757885"/>
    <w:rsid w:val="007579C4"/>
    <w:rsid w:val="00757C5C"/>
    <w:rsid w:val="00762AD4"/>
    <w:rsid w:val="00765B67"/>
    <w:rsid w:val="007667FF"/>
    <w:rsid w:val="00767CDE"/>
    <w:rsid w:val="00771E34"/>
    <w:rsid w:val="00774F31"/>
    <w:rsid w:val="00775A47"/>
    <w:rsid w:val="007827E8"/>
    <w:rsid w:val="00784B67"/>
    <w:rsid w:val="00786B6F"/>
    <w:rsid w:val="00786D9E"/>
    <w:rsid w:val="007938B8"/>
    <w:rsid w:val="007A0641"/>
    <w:rsid w:val="007A0A6D"/>
    <w:rsid w:val="007A0D59"/>
    <w:rsid w:val="007B3C3D"/>
    <w:rsid w:val="007B3EC4"/>
    <w:rsid w:val="007B483C"/>
    <w:rsid w:val="007B6ED0"/>
    <w:rsid w:val="007C0333"/>
    <w:rsid w:val="007C2D55"/>
    <w:rsid w:val="007D40E8"/>
    <w:rsid w:val="007D5E22"/>
    <w:rsid w:val="007E2287"/>
    <w:rsid w:val="007E2F0F"/>
    <w:rsid w:val="007F29FF"/>
    <w:rsid w:val="007F427E"/>
    <w:rsid w:val="008018C2"/>
    <w:rsid w:val="00801AAD"/>
    <w:rsid w:val="00801E1D"/>
    <w:rsid w:val="0080680E"/>
    <w:rsid w:val="00811F68"/>
    <w:rsid w:val="00821086"/>
    <w:rsid w:val="00822C25"/>
    <w:rsid w:val="00823140"/>
    <w:rsid w:val="00831410"/>
    <w:rsid w:val="00842D93"/>
    <w:rsid w:val="00850E99"/>
    <w:rsid w:val="008524A9"/>
    <w:rsid w:val="00854093"/>
    <w:rsid w:val="00856831"/>
    <w:rsid w:val="0086367B"/>
    <w:rsid w:val="00867570"/>
    <w:rsid w:val="00875639"/>
    <w:rsid w:val="00875867"/>
    <w:rsid w:val="00876CCA"/>
    <w:rsid w:val="00894E05"/>
    <w:rsid w:val="008978CF"/>
    <w:rsid w:val="008A1060"/>
    <w:rsid w:val="008B0C78"/>
    <w:rsid w:val="008C0EB7"/>
    <w:rsid w:val="008C1129"/>
    <w:rsid w:val="008C5A8F"/>
    <w:rsid w:val="008C65D0"/>
    <w:rsid w:val="008C6C41"/>
    <w:rsid w:val="008D25CC"/>
    <w:rsid w:val="008D4ADB"/>
    <w:rsid w:val="008F0A35"/>
    <w:rsid w:val="008F3888"/>
    <w:rsid w:val="008F588C"/>
    <w:rsid w:val="009035EB"/>
    <w:rsid w:val="00906814"/>
    <w:rsid w:val="009246B6"/>
    <w:rsid w:val="00924D5E"/>
    <w:rsid w:val="00926327"/>
    <w:rsid w:val="00930142"/>
    <w:rsid w:val="00931E41"/>
    <w:rsid w:val="009334B4"/>
    <w:rsid w:val="0093486B"/>
    <w:rsid w:val="00934D3B"/>
    <w:rsid w:val="00935227"/>
    <w:rsid w:val="0093741F"/>
    <w:rsid w:val="0093787D"/>
    <w:rsid w:val="009463AC"/>
    <w:rsid w:val="00946782"/>
    <w:rsid w:val="009506BE"/>
    <w:rsid w:val="009515A7"/>
    <w:rsid w:val="00956D30"/>
    <w:rsid w:val="009627FA"/>
    <w:rsid w:val="009637E1"/>
    <w:rsid w:val="009715B8"/>
    <w:rsid w:val="00974909"/>
    <w:rsid w:val="00977E2A"/>
    <w:rsid w:val="009809AE"/>
    <w:rsid w:val="009835EB"/>
    <w:rsid w:val="009860AD"/>
    <w:rsid w:val="00986E4A"/>
    <w:rsid w:val="00990482"/>
    <w:rsid w:val="00997E7C"/>
    <w:rsid w:val="009A18AA"/>
    <w:rsid w:val="009A60DB"/>
    <w:rsid w:val="009B0111"/>
    <w:rsid w:val="009B4004"/>
    <w:rsid w:val="009B71AF"/>
    <w:rsid w:val="009C469F"/>
    <w:rsid w:val="009C5B0C"/>
    <w:rsid w:val="009D26F1"/>
    <w:rsid w:val="009D436B"/>
    <w:rsid w:val="009D5186"/>
    <w:rsid w:val="009D52B8"/>
    <w:rsid w:val="009D6BF2"/>
    <w:rsid w:val="009E16AD"/>
    <w:rsid w:val="009E1AC8"/>
    <w:rsid w:val="009E785D"/>
    <w:rsid w:val="009F6E1B"/>
    <w:rsid w:val="00A02871"/>
    <w:rsid w:val="00A110F1"/>
    <w:rsid w:val="00A11237"/>
    <w:rsid w:val="00A12C77"/>
    <w:rsid w:val="00A149EB"/>
    <w:rsid w:val="00A14AD6"/>
    <w:rsid w:val="00A21EDE"/>
    <w:rsid w:val="00A233D7"/>
    <w:rsid w:val="00A24696"/>
    <w:rsid w:val="00A27160"/>
    <w:rsid w:val="00A33793"/>
    <w:rsid w:val="00A3501C"/>
    <w:rsid w:val="00A37B03"/>
    <w:rsid w:val="00A40E81"/>
    <w:rsid w:val="00A51BDD"/>
    <w:rsid w:val="00A52816"/>
    <w:rsid w:val="00A528A2"/>
    <w:rsid w:val="00A52E1E"/>
    <w:rsid w:val="00A618DE"/>
    <w:rsid w:val="00A62EAB"/>
    <w:rsid w:val="00A65F53"/>
    <w:rsid w:val="00A6696A"/>
    <w:rsid w:val="00A762D0"/>
    <w:rsid w:val="00A77951"/>
    <w:rsid w:val="00A80D23"/>
    <w:rsid w:val="00A82938"/>
    <w:rsid w:val="00A82E1B"/>
    <w:rsid w:val="00A83D94"/>
    <w:rsid w:val="00A84541"/>
    <w:rsid w:val="00A86E30"/>
    <w:rsid w:val="00A92FF1"/>
    <w:rsid w:val="00A93E15"/>
    <w:rsid w:val="00A96A25"/>
    <w:rsid w:val="00AA71AF"/>
    <w:rsid w:val="00AB16CE"/>
    <w:rsid w:val="00AC3291"/>
    <w:rsid w:val="00AC7C32"/>
    <w:rsid w:val="00AD57B5"/>
    <w:rsid w:val="00AD61CC"/>
    <w:rsid w:val="00AD68B4"/>
    <w:rsid w:val="00AE2533"/>
    <w:rsid w:val="00AF2796"/>
    <w:rsid w:val="00AF4F29"/>
    <w:rsid w:val="00B00150"/>
    <w:rsid w:val="00B10371"/>
    <w:rsid w:val="00B1173B"/>
    <w:rsid w:val="00B12B3F"/>
    <w:rsid w:val="00B1551D"/>
    <w:rsid w:val="00B233B4"/>
    <w:rsid w:val="00B2399C"/>
    <w:rsid w:val="00B31094"/>
    <w:rsid w:val="00B32440"/>
    <w:rsid w:val="00B33DFD"/>
    <w:rsid w:val="00B35533"/>
    <w:rsid w:val="00B40F45"/>
    <w:rsid w:val="00B5236E"/>
    <w:rsid w:val="00B577CA"/>
    <w:rsid w:val="00B602B3"/>
    <w:rsid w:val="00B70C98"/>
    <w:rsid w:val="00B70FE0"/>
    <w:rsid w:val="00B81736"/>
    <w:rsid w:val="00B85015"/>
    <w:rsid w:val="00B87E3D"/>
    <w:rsid w:val="00B90EB5"/>
    <w:rsid w:val="00B9191F"/>
    <w:rsid w:val="00BA50E9"/>
    <w:rsid w:val="00BA6DFC"/>
    <w:rsid w:val="00BB433F"/>
    <w:rsid w:val="00BB71D4"/>
    <w:rsid w:val="00BC0284"/>
    <w:rsid w:val="00BC248B"/>
    <w:rsid w:val="00BC3EBF"/>
    <w:rsid w:val="00BC4B6B"/>
    <w:rsid w:val="00BC57E5"/>
    <w:rsid w:val="00BD151F"/>
    <w:rsid w:val="00BD1664"/>
    <w:rsid w:val="00BE160A"/>
    <w:rsid w:val="00BE4211"/>
    <w:rsid w:val="00BF2922"/>
    <w:rsid w:val="00C00997"/>
    <w:rsid w:val="00C05D54"/>
    <w:rsid w:val="00C07A64"/>
    <w:rsid w:val="00C16ADA"/>
    <w:rsid w:val="00C30251"/>
    <w:rsid w:val="00C34289"/>
    <w:rsid w:val="00C3592C"/>
    <w:rsid w:val="00C47130"/>
    <w:rsid w:val="00C50E4C"/>
    <w:rsid w:val="00C570DC"/>
    <w:rsid w:val="00C67BE2"/>
    <w:rsid w:val="00C70AD1"/>
    <w:rsid w:val="00C760EA"/>
    <w:rsid w:val="00C83B3B"/>
    <w:rsid w:val="00C85F9B"/>
    <w:rsid w:val="00C915E7"/>
    <w:rsid w:val="00C924BB"/>
    <w:rsid w:val="00CA6E5C"/>
    <w:rsid w:val="00CB04C3"/>
    <w:rsid w:val="00CC444E"/>
    <w:rsid w:val="00CC4CE8"/>
    <w:rsid w:val="00CC667B"/>
    <w:rsid w:val="00CD0A6F"/>
    <w:rsid w:val="00CD50F4"/>
    <w:rsid w:val="00CE3BFC"/>
    <w:rsid w:val="00CE4B96"/>
    <w:rsid w:val="00CE7532"/>
    <w:rsid w:val="00CF5272"/>
    <w:rsid w:val="00D01882"/>
    <w:rsid w:val="00D02B07"/>
    <w:rsid w:val="00D03117"/>
    <w:rsid w:val="00D112C4"/>
    <w:rsid w:val="00D16EA4"/>
    <w:rsid w:val="00D275A2"/>
    <w:rsid w:val="00D30E91"/>
    <w:rsid w:val="00D319FD"/>
    <w:rsid w:val="00D34AC3"/>
    <w:rsid w:val="00D34F9B"/>
    <w:rsid w:val="00D37CB3"/>
    <w:rsid w:val="00D406CF"/>
    <w:rsid w:val="00D44562"/>
    <w:rsid w:val="00D45DA6"/>
    <w:rsid w:val="00D47F3F"/>
    <w:rsid w:val="00D5076E"/>
    <w:rsid w:val="00D53226"/>
    <w:rsid w:val="00D53AB4"/>
    <w:rsid w:val="00D74E5F"/>
    <w:rsid w:val="00D74F0C"/>
    <w:rsid w:val="00D77AC8"/>
    <w:rsid w:val="00D77B86"/>
    <w:rsid w:val="00D808DE"/>
    <w:rsid w:val="00D8323A"/>
    <w:rsid w:val="00D836DA"/>
    <w:rsid w:val="00D8771F"/>
    <w:rsid w:val="00D962C9"/>
    <w:rsid w:val="00D96E89"/>
    <w:rsid w:val="00DA64E1"/>
    <w:rsid w:val="00DA77CD"/>
    <w:rsid w:val="00DB0110"/>
    <w:rsid w:val="00DB3DA5"/>
    <w:rsid w:val="00DB3F08"/>
    <w:rsid w:val="00DB7A65"/>
    <w:rsid w:val="00DC4A4A"/>
    <w:rsid w:val="00DE353D"/>
    <w:rsid w:val="00DE449B"/>
    <w:rsid w:val="00DE6E81"/>
    <w:rsid w:val="00DF099F"/>
    <w:rsid w:val="00DF5629"/>
    <w:rsid w:val="00DF5AF1"/>
    <w:rsid w:val="00DF5BA3"/>
    <w:rsid w:val="00DF6BAC"/>
    <w:rsid w:val="00E05691"/>
    <w:rsid w:val="00E06E50"/>
    <w:rsid w:val="00E116B6"/>
    <w:rsid w:val="00E17DCA"/>
    <w:rsid w:val="00E228BC"/>
    <w:rsid w:val="00E26104"/>
    <w:rsid w:val="00E365CB"/>
    <w:rsid w:val="00E3742C"/>
    <w:rsid w:val="00E42BF3"/>
    <w:rsid w:val="00E43939"/>
    <w:rsid w:val="00E45700"/>
    <w:rsid w:val="00E531A6"/>
    <w:rsid w:val="00E534A9"/>
    <w:rsid w:val="00E5548E"/>
    <w:rsid w:val="00E703B2"/>
    <w:rsid w:val="00E73960"/>
    <w:rsid w:val="00E745EE"/>
    <w:rsid w:val="00E74B9E"/>
    <w:rsid w:val="00E8343F"/>
    <w:rsid w:val="00E84340"/>
    <w:rsid w:val="00E86C7D"/>
    <w:rsid w:val="00E9065F"/>
    <w:rsid w:val="00E92AF6"/>
    <w:rsid w:val="00E94507"/>
    <w:rsid w:val="00E9568C"/>
    <w:rsid w:val="00EA2C12"/>
    <w:rsid w:val="00EA560F"/>
    <w:rsid w:val="00EB3059"/>
    <w:rsid w:val="00EC03BE"/>
    <w:rsid w:val="00EC05C5"/>
    <w:rsid w:val="00EC1887"/>
    <w:rsid w:val="00EC4C84"/>
    <w:rsid w:val="00EC6773"/>
    <w:rsid w:val="00ED045D"/>
    <w:rsid w:val="00ED56ED"/>
    <w:rsid w:val="00ED56FB"/>
    <w:rsid w:val="00EE1B35"/>
    <w:rsid w:val="00EE3246"/>
    <w:rsid w:val="00EE7B8C"/>
    <w:rsid w:val="00EF0C3D"/>
    <w:rsid w:val="00EF0C70"/>
    <w:rsid w:val="00EF2658"/>
    <w:rsid w:val="00EF7794"/>
    <w:rsid w:val="00F1134C"/>
    <w:rsid w:val="00F1186B"/>
    <w:rsid w:val="00F1428F"/>
    <w:rsid w:val="00F149C5"/>
    <w:rsid w:val="00F202BE"/>
    <w:rsid w:val="00F212D2"/>
    <w:rsid w:val="00F340FB"/>
    <w:rsid w:val="00F3427D"/>
    <w:rsid w:val="00F41E7B"/>
    <w:rsid w:val="00F436F2"/>
    <w:rsid w:val="00F640D8"/>
    <w:rsid w:val="00F65116"/>
    <w:rsid w:val="00F653E7"/>
    <w:rsid w:val="00F70286"/>
    <w:rsid w:val="00F735D2"/>
    <w:rsid w:val="00F76CDC"/>
    <w:rsid w:val="00F9032A"/>
    <w:rsid w:val="00F92DDF"/>
    <w:rsid w:val="00FB0B64"/>
    <w:rsid w:val="00FB7E73"/>
    <w:rsid w:val="00FC2BD4"/>
    <w:rsid w:val="00FC5ADA"/>
    <w:rsid w:val="00FD007D"/>
    <w:rsid w:val="00FD155B"/>
    <w:rsid w:val="00FD1F64"/>
    <w:rsid w:val="00FD35CB"/>
    <w:rsid w:val="00FD36F9"/>
    <w:rsid w:val="00FE15A4"/>
    <w:rsid w:val="00FE586D"/>
    <w:rsid w:val="00FE7FA8"/>
    <w:rsid w:val="00FF21C3"/>
    <w:rsid w:val="00FF31D5"/>
    <w:rsid w:val="00FF3235"/>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none [3213]">
      <v:stroke color="none [3213]" weight=".25pt"/>
      <v:shadow opacity="22938f" offset="0"/>
      <v:textbox inset=",7.2pt,,7.2pt"/>
    </o:shapedefaults>
    <o:shapelayout v:ext="edit">
      <o:idmap v:ext="edit" data="1"/>
    </o:shapelayout>
  </w:shapeDefaults>
  <w:decimalSymbol w:val="."/>
  <w:listSeparator w:val=","/>
  <w14:docId w14:val="4C711843"/>
  <w15:chartTrackingRefBased/>
  <w15:docId w15:val="{69301DBF-AFB9-4BD1-A8F4-D33E815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36B"/>
    <w:rPr>
      <w:sz w:val="18"/>
      <w:szCs w:val="24"/>
      <w:lang w:val="en-US" w:eastAsia="en-US"/>
    </w:rPr>
  </w:style>
  <w:style w:type="paragraph" w:styleId="Heading1">
    <w:name w:val="heading 1"/>
    <w:aliases w:val="Section Header"/>
    <w:basedOn w:val="Normal"/>
    <w:next w:val="Normal"/>
    <w:link w:val="Heading1Char"/>
    <w:qFormat/>
    <w:rsid w:val="00CC667B"/>
    <w:pPr>
      <w:spacing w:before="120"/>
      <w:outlineLvl w:val="0"/>
    </w:pPr>
    <w:rPr>
      <w:rFonts w:cs="Arial"/>
      <w:b/>
      <w:bCs/>
      <w:sz w:val="22"/>
      <w:szCs w:val="22"/>
    </w:rPr>
  </w:style>
  <w:style w:type="paragraph" w:styleId="Heading2">
    <w:name w:val="heading 2"/>
    <w:aliases w:val="Bold Row Header"/>
    <w:basedOn w:val="Normal"/>
    <w:next w:val="Normal"/>
    <w:link w:val="Heading2Char"/>
    <w:qFormat/>
    <w:rsid w:val="005F7990"/>
    <w:pPr>
      <w:outlineLvl w:val="1"/>
    </w:pPr>
    <w:rPr>
      <w:b/>
    </w:rPr>
  </w:style>
  <w:style w:type="paragraph" w:styleId="Heading3">
    <w:name w:val="heading 3"/>
    <w:basedOn w:val="Heading1"/>
    <w:next w:val="Normal"/>
    <w:link w:val="Heading3Char"/>
    <w:rsid w:val="003D2BEC"/>
    <w:pPr>
      <w:spacing w:befor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48"/>
    <w:pPr>
      <w:spacing w:line="340" w:lineRule="exact"/>
    </w:pPr>
    <w:rPr>
      <w:b/>
      <w:bCs/>
      <w:color w:val="009FDF"/>
      <w:sz w:val="38"/>
      <w:szCs w:val="38"/>
    </w:rPr>
  </w:style>
  <w:style w:type="character" w:customStyle="1" w:styleId="HeaderChar">
    <w:name w:val="Header Char"/>
    <w:link w:val="Header"/>
    <w:uiPriority w:val="99"/>
    <w:rsid w:val="00134948"/>
    <w:rPr>
      <w:b/>
      <w:bCs/>
      <w:color w:val="009FDF"/>
      <w:sz w:val="38"/>
      <w:szCs w:val="38"/>
      <w:lang w:val="en-GB"/>
    </w:rPr>
  </w:style>
  <w:style w:type="paragraph" w:styleId="Footer">
    <w:name w:val="footer"/>
    <w:basedOn w:val="Normal"/>
    <w:link w:val="FooterChar"/>
    <w:uiPriority w:val="99"/>
    <w:unhideWhenUsed/>
    <w:rsid w:val="008C0EB7"/>
    <w:pPr>
      <w:tabs>
        <w:tab w:val="center" w:pos="5273"/>
      </w:tabs>
    </w:pPr>
    <w:rPr>
      <w:color w:val="009FDF"/>
      <w:sz w:val="16"/>
    </w:rPr>
  </w:style>
  <w:style w:type="character" w:customStyle="1" w:styleId="FooterChar">
    <w:name w:val="Footer Char"/>
    <w:link w:val="Footer"/>
    <w:uiPriority w:val="99"/>
    <w:rsid w:val="008C0EB7"/>
    <w:rPr>
      <w:color w:val="009FDF"/>
      <w:sz w:val="16"/>
      <w:lang w:val="en-GB"/>
    </w:rPr>
  </w:style>
  <w:style w:type="table" w:styleId="TableGrid">
    <w:name w:val="Table Grid"/>
    <w:basedOn w:val="TableNormal"/>
    <w:uiPriority w:val="59"/>
    <w:rsid w:val="006C1D49"/>
    <w:tblPr/>
  </w:style>
  <w:style w:type="table" w:customStyle="1" w:styleId="HempelPageTable">
    <w:name w:val="Hempel: Page Table_"/>
    <w:basedOn w:val="TableGrid"/>
    <w:qFormat/>
    <w:rsid w:val="00B70FE0"/>
    <w:rPr>
      <w:sz w:val="18"/>
    </w:rPr>
    <w:tblPr/>
    <w:tcPr>
      <w:tcMar>
        <w:top w:w="113" w:type="dxa"/>
        <w:left w:w="0" w:type="dxa"/>
        <w:bottom w:w="113" w:type="dxa"/>
        <w:right w:w="0" w:type="dxa"/>
      </w:tcMar>
    </w:tcPr>
  </w:style>
  <w:style w:type="character" w:customStyle="1" w:styleId="Heading1Char">
    <w:name w:val="Heading 1 Char"/>
    <w:aliases w:val="Section Header Char"/>
    <w:link w:val="Heading1"/>
    <w:rsid w:val="00CC667B"/>
    <w:rPr>
      <w:rFonts w:cs="Arial"/>
      <w:b/>
      <w:bCs/>
      <w:sz w:val="22"/>
      <w:szCs w:val="22"/>
      <w:lang w:val="en-US" w:eastAsia="en-US"/>
    </w:rPr>
  </w:style>
  <w:style w:type="character" w:customStyle="1" w:styleId="Heading2Char">
    <w:name w:val="Heading 2 Char"/>
    <w:aliases w:val="Bold Row Header Char"/>
    <w:link w:val="Heading2"/>
    <w:rsid w:val="005F7990"/>
    <w:rPr>
      <w:b/>
      <w:sz w:val="18"/>
      <w:lang w:val="en-GB"/>
    </w:rPr>
  </w:style>
  <w:style w:type="character" w:customStyle="1" w:styleId="Heading3Char">
    <w:name w:val="Heading 3 Char"/>
    <w:link w:val="Heading3"/>
    <w:rsid w:val="003D2BEC"/>
    <w:rPr>
      <w:rFonts w:ascii="Arial" w:hAnsi="Arial" w:cs="Arial"/>
      <w:b/>
      <w:bCs/>
      <w:caps/>
      <w:sz w:val="22"/>
      <w:szCs w:val="22"/>
      <w:lang w:val="en-GB"/>
    </w:rPr>
  </w:style>
  <w:style w:type="paragraph" w:customStyle="1" w:styleId="ColorfulList-Accent11">
    <w:name w:val="Colorful List - Accent 11"/>
    <w:basedOn w:val="Normal"/>
    <w:uiPriority w:val="34"/>
    <w:rsid w:val="00B1173B"/>
    <w:pPr>
      <w:numPr>
        <w:numId w:val="7"/>
      </w:numPr>
      <w:ind w:left="170" w:hanging="170"/>
      <w:contextualSpacing/>
    </w:pPr>
  </w:style>
  <w:style w:type="paragraph" w:customStyle="1" w:styleId="Bullets">
    <w:name w:val="Bullets_"/>
    <w:basedOn w:val="Normal"/>
    <w:rsid w:val="00B1173B"/>
    <w:pPr>
      <w:numPr>
        <w:numId w:val="8"/>
      </w:numPr>
      <w:ind w:left="170" w:hanging="170"/>
    </w:pPr>
  </w:style>
  <w:style w:type="paragraph" w:customStyle="1" w:styleId="HeaderProductName">
    <w:name w:val="Header: Product Name_"/>
    <w:basedOn w:val="Header"/>
    <w:qFormat/>
    <w:rsid w:val="00424B74"/>
    <w:pPr>
      <w:spacing w:line="260" w:lineRule="exact"/>
    </w:pPr>
    <w:rPr>
      <w:color w:val="000000" w:themeColor="text1"/>
      <w:sz w:val="24"/>
      <w:szCs w:val="24"/>
    </w:rPr>
  </w:style>
  <w:style w:type="paragraph" w:customStyle="1" w:styleId="Regulationdetails">
    <w:name w:val="Regulation details_"/>
    <w:basedOn w:val="Normal"/>
    <w:rsid w:val="00D8771F"/>
    <w:pPr>
      <w:spacing w:after="180"/>
    </w:pPr>
    <w:rPr>
      <w:color w:val="0033A0"/>
    </w:rPr>
  </w:style>
  <w:style w:type="paragraph" w:customStyle="1" w:styleId="Datatext">
    <w:name w:val="Datatext"/>
    <w:basedOn w:val="Normal"/>
    <w:rsid w:val="00EF7794"/>
    <w:pPr>
      <w:tabs>
        <w:tab w:val="left" w:pos="3685"/>
        <w:tab w:val="left" w:pos="5386"/>
        <w:tab w:val="left" w:pos="7087"/>
        <w:tab w:val="left" w:pos="8788"/>
      </w:tabs>
      <w:overflowPunct w:val="0"/>
      <w:autoSpaceDE w:val="0"/>
      <w:autoSpaceDN w:val="0"/>
      <w:adjustRightInd w:val="0"/>
      <w:spacing w:line="198" w:lineRule="exact"/>
      <w:ind w:left="2551" w:hanging="2551"/>
      <w:textAlignment w:val="baseline"/>
    </w:pPr>
    <w:rPr>
      <w:rFonts w:ascii="ITC Franklin Gothic Book" w:eastAsia="Times New Roman" w:hAnsi="ITC Franklin Gothic Book"/>
      <w:szCs w:val="20"/>
      <w:lang w:eastAsia="en-GB"/>
    </w:rPr>
  </w:style>
  <w:style w:type="character" w:styleId="PageNumber">
    <w:name w:val="page number"/>
    <w:basedOn w:val="DefaultParagraphFont"/>
    <w:semiHidden/>
    <w:unhideWhenUsed/>
    <w:rsid w:val="004A5DF0"/>
  </w:style>
  <w:style w:type="paragraph" w:customStyle="1" w:styleId="NotesDisclaimers">
    <w:name w:val="Notes/Disclaimers"/>
    <w:basedOn w:val="Normal"/>
    <w:qFormat/>
    <w:rsid w:val="001069F6"/>
    <w:rPr>
      <w:i/>
      <w:sz w:val="16"/>
      <w:szCs w:val="16"/>
    </w:rPr>
  </w:style>
  <w:style w:type="paragraph" w:customStyle="1" w:styleId="ColorfulShading-Accent11">
    <w:name w:val="Colorful Shading - Accent 11"/>
    <w:hidden/>
    <w:semiHidden/>
    <w:rsid w:val="004A3E40"/>
    <w:rPr>
      <w:sz w:val="18"/>
      <w:szCs w:val="24"/>
      <w:lang w:eastAsia="en-US"/>
    </w:rPr>
  </w:style>
  <w:style w:type="paragraph" w:customStyle="1" w:styleId="LegalStatement">
    <w:name w:val="Legal Statement"/>
    <w:basedOn w:val="Normal"/>
    <w:qFormat/>
    <w:rsid w:val="00542188"/>
    <w:rPr>
      <w:sz w:val="14"/>
      <w:szCs w:val="14"/>
    </w:rPr>
  </w:style>
  <w:style w:type="paragraph" w:customStyle="1" w:styleId="DocumentType">
    <w:name w:val="Document Type"/>
    <w:basedOn w:val="Header"/>
    <w:link w:val="DocumentTypeChar"/>
    <w:qFormat/>
    <w:rsid w:val="00C570DC"/>
    <w:pPr>
      <w:spacing w:line="380" w:lineRule="exact"/>
    </w:pPr>
    <w:rPr>
      <w:color w:val="E30613"/>
    </w:rPr>
  </w:style>
  <w:style w:type="paragraph" w:customStyle="1" w:styleId="FooterText">
    <w:name w:val="Footer Text"/>
    <w:basedOn w:val="Footer"/>
    <w:link w:val="FooterTextChar"/>
    <w:qFormat/>
    <w:rsid w:val="002500EA"/>
    <w:rPr>
      <w:color w:val="E30613"/>
    </w:rPr>
  </w:style>
  <w:style w:type="character" w:customStyle="1" w:styleId="DocumentTypeChar">
    <w:name w:val="Document Type Char"/>
    <w:basedOn w:val="HeaderChar"/>
    <w:link w:val="DocumentType"/>
    <w:rsid w:val="00C570DC"/>
    <w:rPr>
      <w:b/>
      <w:bCs/>
      <w:color w:val="E30613"/>
      <w:sz w:val="38"/>
      <w:szCs w:val="38"/>
      <w:lang w:val="en-US" w:eastAsia="en-US"/>
    </w:rPr>
  </w:style>
  <w:style w:type="character" w:customStyle="1" w:styleId="FooterTextChar">
    <w:name w:val="Footer Text Char"/>
    <w:basedOn w:val="FooterChar"/>
    <w:link w:val="FooterText"/>
    <w:rsid w:val="002500EA"/>
    <w:rPr>
      <w:color w:val="E30613"/>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38CAE74E6A874FBD908C86E0EBBCC1" ma:contentTypeVersion="13" ma:contentTypeDescription="Create a new document." ma:contentTypeScope="" ma:versionID="6d362197513d2a9bc88583b8aff51945">
  <xsd:schema xmlns:xsd="http://www.w3.org/2001/XMLSchema" xmlns:xs="http://www.w3.org/2001/XMLSchema" xmlns:p="http://schemas.microsoft.com/office/2006/metadata/properties" xmlns:ns2="535c99ac-d655-4cd8-a2e1-95bb059c61d9" xmlns:ns3="7b60d8d6-c7d0-4e22-9ac6-97d636a6e0e1" targetNamespace="http://schemas.microsoft.com/office/2006/metadata/properties" ma:root="true" ma:fieldsID="534fafeed1ccdea3ee8674319a223e7c" ns2:_="" ns3:_="">
    <xsd:import namespace="535c99ac-d655-4cd8-a2e1-95bb059c61d9"/>
    <xsd:import namespace="7b60d8d6-c7d0-4e22-9ac6-97d636a6e0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c99ac-d655-4cd8-a2e1-95bb059c61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0d8d6-c7d0-4e22-9ac6-97d636a6e0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F2BF4-4776-4985-B34B-7BE2D17E25A9}">
  <ds:schemaRefs>
    <ds:schemaRef ds:uri="http://schemas.openxmlformats.org/officeDocument/2006/bibliography"/>
  </ds:schemaRefs>
</ds:datastoreItem>
</file>

<file path=customXml/itemProps2.xml><?xml version="1.0" encoding="utf-8"?>
<ds:datastoreItem xmlns:ds="http://schemas.openxmlformats.org/officeDocument/2006/customXml" ds:itemID="{179D8C6A-377D-4CA4-90AB-DC3F1769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c99ac-d655-4cd8-a2e1-95bb059c61d9"/>
    <ds:schemaRef ds:uri="7b60d8d6-c7d0-4e22-9ac6-97d636a6e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4BF0-E165-47DD-A34A-04A330CF5CBC}">
  <ds:schemaRefs>
    <ds:schemaRef ds:uri="http://schemas.microsoft.com/office/infopath/2007/PartnerControls"/>
    <ds:schemaRef ds:uri="http://www.w3.org/XML/1998/namespace"/>
    <ds:schemaRef ds:uri="http://purl.org/dc/elements/1.1/"/>
    <ds:schemaRef ds:uri="535c99ac-d655-4cd8-a2e1-95bb059c61d9"/>
    <ds:schemaRef ds:uri="http://purl.org/dc/dcmitype/"/>
    <ds:schemaRef ds:uri="http://schemas.microsoft.com/office/2006/documentManagement/types"/>
    <ds:schemaRef ds:uri="http://schemas.openxmlformats.org/package/2006/metadata/core-properties"/>
    <ds:schemaRef ds:uri="7b60d8d6-c7d0-4e22-9ac6-97d636a6e0e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C29330D-F41D-4046-B7CE-8CF8F499B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Dragon Rouge</Company>
  <LinksUpToDate>false</LinksUpToDate>
  <CharactersWithSpaces>5314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Kirby</dc:creator>
  <cp:keywords/>
  <dc:description/>
  <cp:lastModifiedBy>Shirley Stern</cp:lastModifiedBy>
  <cp:revision>2</cp:revision>
  <cp:lastPrinted>2015-11-03T14:04:00Z</cp:lastPrinted>
  <dcterms:created xsi:type="dcterms:W3CDTF">2023-07-05T22:35:00Z</dcterms:created>
  <dcterms:modified xsi:type="dcterms:W3CDTF">2023-07-05T22:35:00Z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0x010100ED38CAE74E6A874FBD908C86E0EBBCC1</vt:lpwstr>
  </property>
  <property fmtid="{D5CDD505-2E9C-101B-9397-08002B2CF9AE}" pid="3" name="MSIP_Label_9ff76e1a-9621-4c0c-a789-84379d561f7b_Enabled">
    <vt:lpwstr>true</vt:lpwstr>
  </property>
  <property fmtid="{D5CDD505-2E9C-101B-9397-08002B2CF9AE}" pid="4" name="MSIP_Label_9ff76e1a-9621-4c0c-a789-84379d561f7b_SetDate">
    <vt:lpwstr>2023-06-20T19:01:56Z</vt:lpwstr>
  </property>
  <property fmtid="{D5CDD505-2E9C-101B-9397-08002B2CF9AE}" pid="5" name="MSIP_Label_9ff76e1a-9621-4c0c-a789-84379d561f7b_Method">
    <vt:lpwstr>Standard</vt:lpwstr>
  </property>
  <property fmtid="{D5CDD505-2E9C-101B-9397-08002B2CF9AE}" pid="6" name="MSIP_Label_9ff76e1a-9621-4c0c-a789-84379d561f7b_Name">
    <vt:lpwstr>9ff76e1a-9621-4c0c-a789-84379d561f7b</vt:lpwstr>
  </property>
  <property fmtid="{D5CDD505-2E9C-101B-9397-08002B2CF9AE}" pid="7" name="MSIP_Label_9ff76e1a-9621-4c0c-a789-84379d561f7b_SiteId">
    <vt:lpwstr>e6e68e14-0c3f-413b-abdf-8b1f8f0ade02</vt:lpwstr>
  </property>
  <property fmtid="{D5CDD505-2E9C-101B-9397-08002B2CF9AE}" pid="8" name="MSIP_Label_9ff76e1a-9621-4c0c-a789-84379d561f7b_ContentBits">
    <vt:lpwstr>0</vt:lpwstr>
  </property>
</Properties>
</file>